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55" w:rsidRDefault="001D2313">
      <w:pPr>
        <w:rPr>
          <w:rFonts w:ascii="方正小标宋_GBK" w:eastAsia="方正小标宋_GBK"/>
          <w:sz w:val="44"/>
        </w:rPr>
      </w:pPr>
      <w:r>
        <w:rPr>
          <w:rFonts w:ascii="方正小标宋_GBK" w:eastAsia="方正小标宋_GBK"/>
          <w:sz w:val="44"/>
        </w:rPr>
        <w:t xml:space="preserve"> </w:t>
      </w:r>
    </w:p>
    <w:p w:rsidR="00F30155" w:rsidRDefault="00F30155">
      <w:pPr>
        <w:rPr>
          <w:rFonts w:ascii="方正小标宋_GBK" w:eastAsia="方正小标宋_GBK"/>
          <w:sz w:val="44"/>
        </w:rPr>
      </w:pPr>
    </w:p>
    <w:p w:rsidR="00F30155" w:rsidRDefault="00F30155">
      <w:pPr>
        <w:rPr>
          <w:rFonts w:ascii="方正小标宋_GBK" w:eastAsia="方正小标宋_GBK"/>
          <w:sz w:val="44"/>
        </w:rPr>
      </w:pPr>
    </w:p>
    <w:p w:rsidR="00F30155" w:rsidRDefault="001D2313">
      <w:pPr>
        <w:jc w:val="center"/>
        <w:rPr>
          <w:rFonts w:ascii="方正小标宋_GBK" w:eastAsia="方正小标宋_GBK" w:cs="Times New Roman"/>
          <w:w w:val="85"/>
          <w:sz w:val="56"/>
        </w:rPr>
      </w:pPr>
      <w:r>
        <w:rPr>
          <w:rFonts w:ascii="方正小标宋_GBK" w:eastAsia="方正小标宋_GBK"/>
          <w:sz w:val="44"/>
        </w:rPr>
        <w:t xml:space="preserve">      </w:t>
      </w:r>
      <w:r>
        <w:rPr>
          <w:rFonts w:ascii="方正小标宋_GBK" w:eastAsia="方正小标宋_GBK" w:cs="Times New Roman" w:hint="eastAsia"/>
          <w:w w:val="85"/>
          <w:sz w:val="56"/>
        </w:rPr>
        <w:t>濮阳市华龙区粮食局</w:t>
      </w:r>
      <w:r>
        <w:rPr>
          <w:rFonts w:ascii="方正小标宋_GBK" w:eastAsia="方正小标宋_GBK" w:cs="Times New Roman"/>
          <w:w w:val="85"/>
          <w:sz w:val="56"/>
        </w:rPr>
        <w:t xml:space="preserve">      </w:t>
      </w:r>
    </w:p>
    <w:p w:rsidR="00F30155" w:rsidRDefault="001D2313">
      <w:pPr>
        <w:jc w:val="center"/>
        <w:rPr>
          <w:rFonts w:ascii="方正小标宋_GBK" w:eastAsia="方正小标宋_GBK" w:cs="Times New Roman"/>
          <w:w w:val="85"/>
          <w:sz w:val="56"/>
        </w:rPr>
      </w:pPr>
      <w:r>
        <w:rPr>
          <w:rFonts w:ascii="方正小标宋_GBK" w:eastAsia="方正小标宋_GBK" w:cs="Times New Roman"/>
          <w:w w:val="85"/>
          <w:sz w:val="56"/>
        </w:rPr>
        <w:t xml:space="preserve">      2018</w:t>
      </w:r>
      <w:r>
        <w:rPr>
          <w:rFonts w:ascii="方正小标宋_GBK" w:eastAsia="方正小标宋_GBK" w:cs="Times New Roman" w:hint="eastAsia"/>
          <w:w w:val="85"/>
          <w:sz w:val="56"/>
        </w:rPr>
        <w:t>年部门预算公开说明</w:t>
      </w:r>
    </w:p>
    <w:p w:rsidR="00F30155" w:rsidRDefault="00F30155">
      <w:pPr>
        <w:jc w:val="center"/>
        <w:rPr>
          <w:rFonts w:ascii="方正小标宋_GBK" w:eastAsia="方正小标宋_GBK"/>
          <w:sz w:val="44"/>
        </w:rPr>
      </w:pPr>
    </w:p>
    <w:p w:rsidR="00F30155" w:rsidRDefault="00F30155">
      <w:pPr>
        <w:jc w:val="center"/>
        <w:rPr>
          <w:rFonts w:ascii="方正小标宋_GBK" w:eastAsia="方正小标宋_GBK"/>
          <w:sz w:val="44"/>
        </w:rPr>
      </w:pPr>
    </w:p>
    <w:p w:rsidR="00F30155" w:rsidRDefault="00F30155">
      <w:pPr>
        <w:jc w:val="center"/>
        <w:rPr>
          <w:rFonts w:ascii="方正小标宋_GBK" w:eastAsia="方正小标宋_GBK"/>
          <w:sz w:val="44"/>
        </w:rPr>
      </w:pPr>
    </w:p>
    <w:p w:rsidR="00F30155" w:rsidRDefault="00F30155">
      <w:pPr>
        <w:jc w:val="center"/>
        <w:rPr>
          <w:rFonts w:ascii="方正小标宋_GBK" w:eastAsia="方正小标宋_GBK"/>
          <w:sz w:val="44"/>
        </w:rPr>
      </w:pPr>
    </w:p>
    <w:p w:rsidR="00F30155" w:rsidRDefault="00F30155">
      <w:pPr>
        <w:jc w:val="center"/>
        <w:rPr>
          <w:rFonts w:ascii="方正小标宋_GBK" w:eastAsia="方正小标宋_GBK" w:hint="eastAsia"/>
          <w:sz w:val="44"/>
        </w:rPr>
      </w:pPr>
    </w:p>
    <w:p w:rsidR="00707006" w:rsidRPr="00707006" w:rsidRDefault="00707006">
      <w:pPr>
        <w:jc w:val="center"/>
        <w:rPr>
          <w:rFonts w:ascii="方正小标宋_GBK" w:eastAsia="方正小标宋_GBK"/>
          <w:sz w:val="44"/>
        </w:rPr>
      </w:pPr>
    </w:p>
    <w:p w:rsidR="00F30155" w:rsidRDefault="00F30155">
      <w:pPr>
        <w:jc w:val="center"/>
        <w:rPr>
          <w:rFonts w:ascii="方正小标宋_GBK" w:eastAsia="方正小标宋_GBK"/>
          <w:sz w:val="44"/>
        </w:rPr>
      </w:pPr>
    </w:p>
    <w:p w:rsidR="00F30155" w:rsidRDefault="00F30155">
      <w:pPr>
        <w:jc w:val="center"/>
        <w:rPr>
          <w:rFonts w:ascii="方正小标宋_GBK" w:eastAsia="方正小标宋_GBK"/>
          <w:sz w:val="44"/>
        </w:rPr>
      </w:pPr>
    </w:p>
    <w:p w:rsidR="00F30155" w:rsidRDefault="001D2313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F30155" w:rsidRDefault="00F30155" w:rsidP="001D2313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F30155" w:rsidRDefault="00F30155" w:rsidP="001D2313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F30155" w:rsidRDefault="00F30155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F30155" w:rsidRDefault="00F30155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F30155" w:rsidRDefault="001D2313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F30155" w:rsidRDefault="00F30155"/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color w:val="000000"/>
          <w:sz w:val="32"/>
          <w:szCs w:val="32"/>
        </w:rPr>
        <w:t> 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/>
          <w:color w:val="000000"/>
          <w:sz w:val="32"/>
          <w:szCs w:val="32"/>
        </w:rPr>
        <w:t xml:space="preserve"> 2018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  <w:r>
        <w:rPr>
          <w:rFonts w:ascii="黑体" w:eastAsia="黑体" w:hAnsi="黑体"/>
          <w:color w:val="000000"/>
          <w:sz w:val="32"/>
          <w:szCs w:val="32"/>
        </w:rPr>
        <w:t> 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附件：濮阳市华龙区粮食局</w:t>
      </w:r>
      <w:r>
        <w:rPr>
          <w:rFonts w:ascii="黑体" w:eastAsia="黑体" w:hAnsi="黑体"/>
          <w:color w:val="000000"/>
          <w:sz w:val="32"/>
          <w:szCs w:val="32"/>
        </w:rPr>
        <w:t>2018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一、部门收支总体情况表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二、部门收入总体情况表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三、部门支出总体情况表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四、财政拨款收支总体情况表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五、一般公共预算支出情况表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六、一般公共预算基本支出情况表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七、一般公共预算“三公”经费支出情况表</w:t>
      </w:r>
    </w:p>
    <w:p w:rsidR="00F30155" w:rsidRDefault="001D2313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八、政府性基金预算支出情况表</w:t>
      </w:r>
    </w:p>
    <w:p w:rsidR="00F30155" w:rsidRDefault="00F30155">
      <w:pPr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30155" w:rsidRDefault="00F30155">
      <w:pPr>
        <w:jc w:val="center"/>
        <w:rPr>
          <w:rFonts w:ascii="黑体" w:eastAsia="黑体" w:hAnsi="黑体" w:hint="eastAsia"/>
          <w:sz w:val="44"/>
          <w:szCs w:val="44"/>
        </w:rPr>
      </w:pPr>
    </w:p>
    <w:p w:rsidR="00707006" w:rsidRDefault="00707006">
      <w:pPr>
        <w:jc w:val="center"/>
        <w:rPr>
          <w:rFonts w:ascii="黑体" w:eastAsia="黑体" w:hAnsi="黑体" w:hint="eastAsia"/>
          <w:sz w:val="44"/>
          <w:szCs w:val="44"/>
        </w:rPr>
      </w:pPr>
    </w:p>
    <w:p w:rsidR="00707006" w:rsidRDefault="00707006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</w:p>
    <w:p w:rsidR="00F30155" w:rsidRDefault="00F30155" w:rsidP="001D2313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F30155" w:rsidRDefault="00F30155" w:rsidP="001D2313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F30155" w:rsidRDefault="00F30155" w:rsidP="001D2313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F30155" w:rsidRDefault="001D2313">
      <w:pPr>
        <w:pStyle w:val="2"/>
        <w:topLinePunct/>
        <w:spacing w:before="0" w:beforeAutospacing="0" w:after="0" w:afterAutospacing="0" w:line="360" w:lineRule="auto"/>
        <w:rPr>
          <w:rFonts w:ascii="黑体" w:eastAsia="黑体" w:hAnsi="黑体"/>
          <w:color w:val="000000"/>
          <w:sz w:val="36"/>
          <w:szCs w:val="32"/>
        </w:rPr>
      </w:pPr>
      <w:r>
        <w:rPr>
          <w:rFonts w:ascii="黑体" w:eastAsia="黑体" w:hAnsi="黑体"/>
          <w:color w:val="000000"/>
          <w:sz w:val="36"/>
          <w:szCs w:val="32"/>
        </w:rPr>
        <w:t xml:space="preserve">                   </w:t>
      </w: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F30155" w:rsidRDefault="001D2313">
      <w:pPr>
        <w:pStyle w:val="2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F30155" w:rsidRDefault="00F30155" w:rsidP="001D2313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F30155" w:rsidRDefault="001D2313" w:rsidP="001D231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F30155" w:rsidRDefault="001D2313" w:rsidP="001D2313">
      <w:pPr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 w:rsidRPr="001D2313">
        <w:rPr>
          <w:rFonts w:ascii="仿宋" w:eastAsia="仿宋" w:hAnsi="仿宋" w:cs="仿宋_GB2312"/>
          <w:sz w:val="32"/>
          <w:szCs w:val="32"/>
        </w:rPr>
        <w:t xml:space="preserve">    </w:t>
      </w:r>
      <w:r>
        <w:rPr>
          <w:rFonts w:ascii="仿宋" w:eastAsia="仿宋" w:hAnsi="仿宋" w:cs="仿宋_GB2312"/>
          <w:sz w:val="32"/>
          <w:szCs w:val="32"/>
        </w:rPr>
        <w:t>1</w:t>
      </w:r>
      <w:r>
        <w:rPr>
          <w:rFonts w:ascii="仿宋" w:eastAsia="仿宋" w:hAnsi="仿宋" w:cs="仿宋_GB2312" w:hint="eastAsia"/>
          <w:sz w:val="32"/>
          <w:szCs w:val="32"/>
        </w:rPr>
        <w:t>、负责上传下达工作，做好机关后勤保障；负责系统人事、老干劳资、社会统筹、安全生产、计划生育、干部职工的教育培训等管理工作；</w:t>
      </w:r>
    </w:p>
    <w:p w:rsidR="00F30155" w:rsidRDefault="001D2313" w:rsidP="001D2313">
      <w:pPr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 xml:space="preserve">    2</w:t>
      </w:r>
      <w:r>
        <w:rPr>
          <w:rFonts w:ascii="仿宋" w:eastAsia="仿宋" w:hAnsi="仿宋" w:cs="仿宋_GB2312" w:hint="eastAsia"/>
          <w:sz w:val="32"/>
          <w:szCs w:val="32"/>
        </w:rPr>
        <w:t>、负责指导系统财务会计工作，编制、申报财务经费收支预算、决算，负责粮食专项资金的管理、监督及各类会计报表的审核、汇总和上报等；</w:t>
      </w:r>
    </w:p>
    <w:p w:rsidR="00F30155" w:rsidRDefault="001D2313" w:rsidP="001D2313">
      <w:pPr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 xml:space="preserve">    3</w:t>
      </w:r>
      <w:r>
        <w:rPr>
          <w:rFonts w:ascii="仿宋" w:eastAsia="仿宋" w:hAnsi="仿宋" w:cs="仿宋_GB2312" w:hint="eastAsia"/>
          <w:sz w:val="32"/>
          <w:szCs w:val="32"/>
        </w:rPr>
        <w:t>、负责全区粮油食品质量检测及粮油食品监督管理工作；负责全区粮油收购资格审查，颁发粮食收购资格许可证，负责全区粮油购销政策性法律法规的监督、实施和落实；</w:t>
      </w:r>
    </w:p>
    <w:p w:rsidR="00F30155" w:rsidRDefault="001D2313" w:rsidP="001D2313">
      <w:pPr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 xml:space="preserve">    4</w:t>
      </w:r>
      <w:r>
        <w:rPr>
          <w:rFonts w:ascii="仿宋" w:eastAsia="仿宋" w:hAnsi="仿宋" w:cs="仿宋_GB2312" w:hint="eastAsia"/>
          <w:sz w:val="32"/>
          <w:szCs w:val="32"/>
        </w:rPr>
        <w:t>、负责粮油市场信息收集、发布，起草粮食应急预案及粮食应急网络建设；负责维护系统职工合法权益，帮扶困难职工，组织系统干部职工文体活动；</w:t>
      </w:r>
    </w:p>
    <w:p w:rsidR="00F30155" w:rsidRDefault="001D2313" w:rsidP="001D2313">
      <w:pPr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 xml:space="preserve">    5</w:t>
      </w:r>
      <w:r>
        <w:rPr>
          <w:rFonts w:ascii="仿宋" w:eastAsia="仿宋" w:hAnsi="仿宋" w:cs="仿宋_GB2312" w:hint="eastAsia"/>
          <w:sz w:val="32"/>
          <w:szCs w:val="32"/>
        </w:rPr>
        <w:t>、负责党风廉政建设，纠正部门的行业不正之风，会同有关部门对干部职工进行党纪政纪教育，监督检查本系统党风廉政建设责任制执行情况。</w:t>
      </w:r>
    </w:p>
    <w:p w:rsidR="00F30155" w:rsidRDefault="001D2313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0"/>
          <w:szCs w:val="30"/>
        </w:rPr>
        <w:lastRenderedPageBreak/>
        <w:t xml:space="preserve">  </w:t>
      </w:r>
      <w:r>
        <w:rPr>
          <w:rFonts w:ascii="黑体" w:eastAsia="黑体" w:hAnsi="黑体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F30155" w:rsidRDefault="001D2313">
      <w:pPr>
        <w:spacing w:line="600" w:lineRule="exact"/>
        <w:rPr>
          <w:rFonts w:ascii="仿宋" w:eastAsia="仿宋" w:hAnsi="仿宋" w:cs="仿宋_GB2312"/>
          <w:sz w:val="32"/>
          <w:szCs w:val="32"/>
        </w:rPr>
      </w:pP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ascii="仿宋_GB2312" w:eastAsia="仿宋_GB2312" w:hAnsi="仿宋_GB2312" w:cs="仿宋_GB2312"/>
          <w:sz w:val="30"/>
          <w:szCs w:val="30"/>
        </w:rPr>
        <w:t xml:space="preserve"> </w:t>
      </w:r>
      <w:r>
        <w:rPr>
          <w:rFonts w:ascii="仿宋" w:eastAsia="仿宋" w:hAnsi="仿宋" w:cs="仿宋_GB2312" w:hint="eastAsia"/>
          <w:sz w:val="32"/>
          <w:szCs w:val="32"/>
        </w:rPr>
        <w:t>根据工作职责及实际工作需要，华龙区粮食局设有办公室、人事股、财务股、流通与发展股、政策法规股、纪检监察股、执法大队、调控股、工会，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F30155" w:rsidRDefault="00F30155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F30155" w:rsidRDefault="00F30155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F30155" w:rsidRDefault="001D2313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36"/>
          <w:szCs w:val="36"/>
        </w:rPr>
      </w:pPr>
      <w:r>
        <w:rPr>
          <w:rFonts w:ascii="黑体" w:eastAsia="黑体" w:hAnsi="黑体" w:hint="eastAsia"/>
          <w:color w:val="000000"/>
          <w:sz w:val="36"/>
          <w:szCs w:val="36"/>
        </w:rPr>
        <w:t>第二部分</w:t>
      </w:r>
    </w:p>
    <w:p w:rsidR="00F30155" w:rsidRDefault="001D2313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36"/>
          <w:szCs w:val="36"/>
        </w:rPr>
      </w:pPr>
      <w:r>
        <w:rPr>
          <w:rFonts w:ascii="黑体" w:eastAsia="黑体" w:hAnsi="黑体"/>
          <w:color w:val="000000"/>
          <w:sz w:val="36"/>
          <w:szCs w:val="36"/>
        </w:rPr>
        <w:t>2018</w:t>
      </w:r>
      <w:r>
        <w:rPr>
          <w:rFonts w:ascii="黑体" w:eastAsia="黑体" w:hAnsi="黑体" w:hint="eastAsia"/>
          <w:color w:val="000000"/>
          <w:sz w:val="36"/>
          <w:szCs w:val="36"/>
        </w:rPr>
        <w:t>年部门预算情况说明</w:t>
      </w:r>
    </w:p>
    <w:p w:rsidR="00F30155" w:rsidRDefault="00F30155" w:rsidP="001D23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F30155" w:rsidRDefault="001D2313" w:rsidP="001D2313">
      <w:pPr>
        <w:pStyle w:val="p0"/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F30155" w:rsidRDefault="001D2313">
      <w:pPr>
        <w:pStyle w:val="p0"/>
        <w:rPr>
          <w:rFonts w:ascii="仿宋" w:eastAsia="仿宋" w:hAnsi="仿宋"/>
          <w:sz w:val="32"/>
          <w:szCs w:val="32"/>
        </w:rPr>
      </w:pPr>
      <w:r>
        <w:rPr>
          <w:rFonts w:ascii="黑体" w:eastAsia="黑体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本部门无独立核算的下级预算单位，部门本级预算即汇总预算。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/>
          <w:sz w:val="32"/>
          <w:szCs w:val="32"/>
        </w:rPr>
        <w:t>361.3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/>
          <w:sz w:val="32"/>
          <w:szCs w:val="32"/>
        </w:rPr>
        <w:t>361.3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30155" w:rsidRDefault="001D2313" w:rsidP="001D2313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F30155" w:rsidRDefault="001D2313" w:rsidP="001D2313">
      <w:pPr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2018</w:t>
      </w:r>
      <w:r>
        <w:rPr>
          <w:rFonts w:ascii="仿宋" w:eastAsia="仿宋" w:hAnsi="仿宋" w:cs="仿宋_GB2312" w:hint="eastAsia"/>
          <w:sz w:val="32"/>
          <w:szCs w:val="32"/>
        </w:rPr>
        <w:t>年本部门财政预算收入总计</w:t>
      </w:r>
      <w:r>
        <w:rPr>
          <w:rFonts w:ascii="仿宋" w:eastAsia="仿宋" w:hAnsi="仿宋" w:cs="仿宋_GB2312"/>
          <w:sz w:val="32"/>
          <w:szCs w:val="32"/>
        </w:rPr>
        <w:t>361.3</w:t>
      </w:r>
      <w:r>
        <w:rPr>
          <w:rFonts w:ascii="仿宋" w:eastAsia="仿宋" w:hAnsi="仿宋" w:cs="仿宋_GB2312" w:hint="eastAsia"/>
          <w:sz w:val="32"/>
          <w:szCs w:val="32"/>
        </w:rPr>
        <w:t>万元，支出总计</w:t>
      </w:r>
      <w:r>
        <w:rPr>
          <w:rFonts w:ascii="仿宋" w:eastAsia="仿宋" w:hAnsi="仿宋" w:cs="仿宋_GB2312"/>
          <w:sz w:val="32"/>
          <w:szCs w:val="32"/>
        </w:rPr>
        <w:t>361.3</w:t>
      </w:r>
      <w:r>
        <w:rPr>
          <w:rFonts w:ascii="仿宋" w:eastAsia="仿宋" w:hAnsi="仿宋" w:cs="仿宋_GB2312" w:hint="eastAsia"/>
          <w:sz w:val="32"/>
          <w:szCs w:val="32"/>
        </w:rPr>
        <w:t>万元。其中：基本支出</w:t>
      </w:r>
      <w:r>
        <w:rPr>
          <w:rFonts w:ascii="仿宋" w:eastAsia="仿宋" w:hAnsi="仿宋" w:cs="仿宋_GB2312"/>
          <w:sz w:val="32"/>
          <w:szCs w:val="32"/>
        </w:rPr>
        <w:t>286.4</w:t>
      </w:r>
      <w:r>
        <w:rPr>
          <w:rFonts w:ascii="仿宋" w:eastAsia="仿宋" w:hAnsi="仿宋" w:cs="仿宋_GB2312" w:hint="eastAsia"/>
          <w:sz w:val="32"/>
          <w:szCs w:val="32"/>
        </w:rPr>
        <w:t>万元，占比</w:t>
      </w:r>
      <w:r>
        <w:rPr>
          <w:rFonts w:ascii="仿宋" w:eastAsia="仿宋" w:hAnsi="仿宋" w:cs="仿宋_GB2312"/>
          <w:sz w:val="32"/>
          <w:szCs w:val="32"/>
        </w:rPr>
        <w:t>79.2%</w:t>
      </w:r>
      <w:r>
        <w:rPr>
          <w:rFonts w:ascii="仿宋" w:eastAsia="仿宋" w:hAnsi="仿宋" w:cs="仿宋_GB2312" w:hint="eastAsia"/>
          <w:sz w:val="32"/>
          <w:szCs w:val="32"/>
        </w:rPr>
        <w:t>；项目支出</w:t>
      </w:r>
      <w:r>
        <w:rPr>
          <w:rFonts w:ascii="仿宋" w:eastAsia="仿宋" w:hAnsi="仿宋" w:cs="仿宋_GB2312"/>
          <w:sz w:val="32"/>
          <w:szCs w:val="32"/>
        </w:rPr>
        <w:t>74.9</w:t>
      </w:r>
      <w:r>
        <w:rPr>
          <w:rFonts w:ascii="仿宋" w:eastAsia="仿宋" w:hAnsi="仿宋" w:cs="仿宋_GB2312" w:hint="eastAsia"/>
          <w:sz w:val="32"/>
          <w:szCs w:val="32"/>
        </w:rPr>
        <w:t>万元，占比</w:t>
      </w:r>
      <w:r>
        <w:rPr>
          <w:rFonts w:ascii="仿宋" w:eastAsia="仿宋" w:hAnsi="仿宋" w:cs="仿宋_GB2312"/>
          <w:sz w:val="32"/>
          <w:szCs w:val="32"/>
        </w:rPr>
        <w:t>20.8%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</w:p>
    <w:p w:rsidR="00F30155" w:rsidRDefault="001D2313" w:rsidP="001D231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年本部门财政预算</w:t>
      </w:r>
      <w:r>
        <w:rPr>
          <w:rFonts w:ascii="仿宋" w:eastAsia="仿宋" w:hAnsi="仿宋" w:cs="仿宋_GB2312" w:hint="eastAsia"/>
          <w:sz w:val="32"/>
          <w:szCs w:val="32"/>
        </w:rPr>
        <w:t>较上年增加</w:t>
      </w:r>
      <w:r>
        <w:rPr>
          <w:rFonts w:ascii="仿宋" w:eastAsia="仿宋" w:hAnsi="仿宋" w:cs="仿宋_GB2312"/>
          <w:sz w:val="32"/>
          <w:szCs w:val="32"/>
        </w:rPr>
        <w:t>56.07</w:t>
      </w:r>
      <w:r>
        <w:rPr>
          <w:rFonts w:ascii="仿宋" w:eastAsia="仿宋" w:hAnsi="仿宋" w:cs="仿宋_GB2312" w:hint="eastAsia"/>
          <w:sz w:val="32"/>
          <w:szCs w:val="32"/>
        </w:rPr>
        <w:t>万元，增长</w:t>
      </w:r>
      <w:r>
        <w:rPr>
          <w:rFonts w:ascii="仿宋" w:eastAsia="仿宋" w:hAnsi="仿宋" w:cs="仿宋_GB2312"/>
          <w:sz w:val="32"/>
          <w:szCs w:val="32"/>
        </w:rPr>
        <w:t>15.6%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主要原因是由于人员工资标准的提高。</w:t>
      </w:r>
    </w:p>
    <w:p w:rsidR="00F30155" w:rsidRDefault="001D2313" w:rsidP="001D231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F30155" w:rsidRDefault="001D2313" w:rsidP="001D231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/>
          <w:sz w:val="32"/>
          <w:szCs w:val="32"/>
        </w:rPr>
        <w:t>14.8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办公费、“三公”经费、其他运行经费，</w:t>
      </w:r>
      <w:r>
        <w:rPr>
          <w:rFonts w:ascii="仿宋" w:eastAsia="仿宋" w:hAnsi="仿宋" w:hint="eastAsia"/>
          <w:sz w:val="32"/>
          <w:szCs w:val="32"/>
        </w:rPr>
        <w:t>比上年减少</w:t>
      </w:r>
      <w:r>
        <w:rPr>
          <w:rFonts w:ascii="仿宋" w:eastAsia="仿宋" w:hAnsi="仿宋"/>
          <w:sz w:val="32"/>
          <w:szCs w:val="32"/>
        </w:rPr>
        <w:t>0.02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/>
          <w:sz w:val="32"/>
          <w:szCs w:val="32"/>
        </w:rPr>
        <w:t>1%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F30155" w:rsidRDefault="001D2313" w:rsidP="001D231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F30155" w:rsidRDefault="001D2313" w:rsidP="001D231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万元，较上年增加</w:t>
      </w:r>
      <w:r>
        <w:rPr>
          <w:rFonts w:ascii="仿宋" w:eastAsia="仿宋" w:hAnsi="仿宋"/>
          <w:sz w:val="32"/>
          <w:szCs w:val="32"/>
        </w:rPr>
        <w:t>0.79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万元，主要原因是由于公车改革后，公车运行数量减少，运行维护成本降低，以及严格执行相关规定，厉行勤俭节约，压减“三公”经费。</w:t>
      </w:r>
    </w:p>
    <w:p w:rsidR="00F30155" w:rsidRDefault="001D2313" w:rsidP="001D231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F30155" w:rsidRDefault="001D2313" w:rsidP="001D231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30155" w:rsidRDefault="001D2313" w:rsidP="001D2313">
      <w:pPr>
        <w:ind w:firstLineChars="200" w:firstLine="64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30155" w:rsidRDefault="001D2313">
      <w:pPr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0"/>
          <w:szCs w:val="30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F30155" w:rsidRDefault="001D231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2018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F30155" w:rsidRDefault="001D2313" w:rsidP="001D231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F30155" w:rsidRDefault="001D2313" w:rsidP="001D231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F30155" w:rsidRDefault="001D2313" w:rsidP="001D2313">
      <w:pPr>
        <w:ind w:firstLineChars="200" w:firstLine="6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0"/>
          <w:szCs w:val="30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F30155" w:rsidRDefault="001D2313" w:rsidP="001D231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/>
          <w:sz w:val="32"/>
          <w:szCs w:val="32"/>
        </w:rPr>
        <w:t>2018-2020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号）有关强化预算绩效管理导向方面要求，本部门牢固树立“讲绩效、重绩效、用绩效”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的绩效管理理念，年度预算申报时，对符合范围的项目资金同步报送了预算绩效目</w:t>
      </w:r>
      <w:r>
        <w:rPr>
          <w:rFonts w:ascii="仿宋" w:eastAsia="仿宋" w:hAnsi="仿宋" w:hint="eastAsia"/>
          <w:sz w:val="32"/>
          <w:szCs w:val="32"/>
        </w:rPr>
        <w:lastRenderedPageBreak/>
        <w:t>标，努力建立健全以结果为导向的预算绩效管理工作机制。</w:t>
      </w:r>
    </w:p>
    <w:p w:rsidR="00F30155" w:rsidRDefault="001D2313" w:rsidP="001D231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F30155" w:rsidRDefault="001D2313">
      <w:pPr>
        <w:autoSpaceDE w:val="0"/>
        <w:autoSpaceDN w:val="0"/>
        <w:jc w:val="left"/>
        <w:rPr>
          <w:rFonts w:ascii="仿宋_GB2312" w:eastAsia="仿宋_GB2312"/>
          <w:sz w:val="32"/>
        </w:rPr>
      </w:pPr>
      <w:r>
        <w:rPr>
          <w:rFonts w:ascii="仿宋" w:eastAsia="仿宋" w:hint="eastAsia"/>
          <w:sz w:val="32"/>
        </w:rPr>
        <w:t xml:space="preserve">    </w:t>
      </w:r>
      <w:r>
        <w:rPr>
          <w:rFonts w:ascii="仿宋_GB2312" w:eastAsia="仿宋_GB2312" w:hint="eastAsia"/>
          <w:sz w:val="32"/>
        </w:rPr>
        <w:t>2017年期末，本部门共有车辆1辆，其中：一般公务用车1辆、一般执法执勤用车0辆、特种专业技术用车0辆，其他用车0辆；单位价值50万元以上通用设备0台，单位价值100万元以上专用设备0台。</w:t>
      </w:r>
    </w:p>
    <w:p w:rsidR="00F30155" w:rsidRDefault="00F30155">
      <w:pPr>
        <w:rPr>
          <w:rFonts w:ascii="仿宋" w:eastAsia="仿宋" w:hAnsi="仿宋"/>
          <w:sz w:val="30"/>
          <w:szCs w:val="30"/>
        </w:rPr>
      </w:pPr>
    </w:p>
    <w:p w:rsidR="00F30155" w:rsidRDefault="00F30155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F30155" w:rsidRDefault="001D2313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F30155" w:rsidRDefault="001D2313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30155" w:rsidRDefault="00F30155">
      <w:pPr>
        <w:spacing w:line="560" w:lineRule="atLeast"/>
        <w:ind w:firstLine="643"/>
        <w:rPr>
          <w:rFonts w:ascii="仿宋_GB2312" w:eastAsia="仿宋_GB2312" w:hAnsi="仿宋_GB2312" w:cs="仿宋_GB2312"/>
          <w:b/>
          <w:kern w:val="0"/>
          <w:sz w:val="30"/>
        </w:rPr>
      </w:pPr>
    </w:p>
    <w:p w:rsidR="00F30155" w:rsidRDefault="001D2313">
      <w:pPr>
        <w:spacing w:line="560" w:lineRule="atLeast"/>
        <w:ind w:firstLine="643"/>
        <w:rPr>
          <w:rFonts w:ascii="仿宋" w:eastAsia="仿宋" w:hAnsi="仿宋" w:cs="仿宋_GB2312"/>
          <w:bCs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/>
          <w:kern w:val="0"/>
          <w:sz w:val="32"/>
          <w:szCs w:val="32"/>
        </w:rPr>
        <w:t>一般公共预算收入</w:t>
      </w: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（原公共财政预算收入），是按照规定的统一科目和口径统计的收入，包括地方固定收入以及中央与地方共享收入中地方所得部分。地方各级财政总收入减去上划中央、</w:t>
      </w:r>
      <w:proofErr w:type="gramStart"/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省收入</w:t>
      </w:r>
      <w:proofErr w:type="gramEnd"/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即为一般公共预算收入。</w:t>
      </w:r>
    </w:p>
    <w:p w:rsidR="00F30155" w:rsidRDefault="001D2313">
      <w:pPr>
        <w:spacing w:line="560" w:lineRule="atLeast"/>
        <w:ind w:firstLine="643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b/>
          <w:sz w:val="32"/>
          <w:szCs w:val="32"/>
        </w:rPr>
        <w:t>一般公共预算支出</w:t>
      </w:r>
      <w:r>
        <w:rPr>
          <w:rFonts w:ascii="仿宋" w:eastAsia="仿宋" w:hAnsi="仿宋" w:cs="仿宋_GB2312" w:hint="eastAsia"/>
          <w:bCs/>
          <w:sz w:val="32"/>
          <w:szCs w:val="32"/>
        </w:rPr>
        <w:t>（原公共财政预算支出），也即通俗所称财政支出，指政府对上级转移性收入、本级一般公共预算收入等有计划的分配和使用而形成的支出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:rsidR="00F30155" w:rsidRDefault="00F30155">
      <w:pPr>
        <w:rPr>
          <w:rFonts w:ascii="仿宋_GB2312" w:eastAsia="仿宋_GB2312" w:hAnsi="仿宋_GB2312" w:cs="仿宋_GB2312"/>
          <w:sz w:val="32"/>
          <w:szCs w:val="32"/>
        </w:rPr>
      </w:pPr>
    </w:p>
    <w:sectPr w:rsidR="00F3015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155"/>
    <w:rsid w:val="001D2313"/>
    <w:rsid w:val="00707006"/>
    <w:rsid w:val="00F3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p0">
    <w:name w:val="p0"/>
    <w:basedOn w:val="a"/>
    <w:pPr>
      <w:widowControl/>
    </w:pPr>
  </w:style>
  <w:style w:type="paragraph" w:customStyle="1" w:styleId="1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">
    <w:name w:val="普通(网站)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脚 Char"/>
    <w:link w:val="a3"/>
    <w:semiHidden/>
    <w:rPr>
      <w:sz w:val="18"/>
    </w:rPr>
  </w:style>
  <w:style w:type="character" w:customStyle="1" w:styleId="Char0">
    <w:name w:val="页眉 Char"/>
    <w:link w:val="a4"/>
    <w:semiHidden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qiye</dc:title>
  <dc:creator>lenovo</dc:creator>
  <cp:lastModifiedBy>ys-pc</cp:lastModifiedBy>
  <cp:revision>4</cp:revision>
  <dcterms:created xsi:type="dcterms:W3CDTF">2017-11-01T09:12:00Z</dcterms:created>
  <dcterms:modified xsi:type="dcterms:W3CDTF">2018-10-31T06:44:00Z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