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eastAsia="方正小标宋_GBK"/>
          <w:sz w:val="40"/>
        </w:rPr>
      </w:pPr>
    </w:p>
    <w:p>
      <w:pPr>
        <w:rPr>
          <w:rFonts w:ascii="方正小标宋_GBK" w:eastAsia="方正小标宋_GBK"/>
          <w:sz w:val="40"/>
        </w:rPr>
      </w:pPr>
    </w:p>
    <w:p>
      <w:pPr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hint="eastAsia" w:ascii="方正小标宋_GBK" w:eastAsia="方正小标宋_GBK"/>
          <w:w w:val="85"/>
          <w:sz w:val="56"/>
        </w:rPr>
        <w:t>濮阳市华龙区农机局</w:t>
      </w:r>
    </w:p>
    <w:p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hint="eastAsia" w:ascii="方正小标宋_GBK" w:eastAsia="方正小标宋_GBK"/>
          <w:w w:val="85"/>
          <w:sz w:val="56"/>
        </w:rPr>
        <w:t>2018年部门预算公开说明</w:t>
      </w: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楷体_GB2312" w:eastAsia="楷体_GB2312"/>
          <w:b/>
          <w:w w:val="90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  <w:r>
        <w:rPr>
          <w:rFonts w:hint="eastAsia" w:ascii="楷体_GB2312" w:eastAsia="楷体_GB2312"/>
          <w:b/>
          <w:w w:val="90"/>
          <w:sz w:val="40"/>
        </w:rPr>
        <w:t>二</w:t>
      </w:r>
      <w:r>
        <w:rPr>
          <w:rFonts w:hint="eastAsia" w:ascii="宋体" w:hAnsi="宋体" w:cs="宋体"/>
          <w:b/>
          <w:w w:val="90"/>
          <w:sz w:val="40"/>
        </w:rPr>
        <w:t>〇</w:t>
      </w:r>
      <w:r>
        <w:rPr>
          <w:rFonts w:hint="eastAsia" w:ascii="楷体_GB2312" w:hAnsi="楷体_GB2312" w:eastAsia="楷体_GB2312" w:cs="楷体_GB2312"/>
          <w:b/>
          <w:w w:val="90"/>
          <w:sz w:val="40"/>
        </w:rPr>
        <w:t>一八年九月</w:t>
      </w:r>
    </w:p>
    <w:p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黑体" w:hAnsi="黑体" w:eastAsia="黑体"/>
          <w:color w:val="000000"/>
          <w:sz w:val="44"/>
          <w:szCs w:val="32"/>
        </w:rPr>
      </w:pPr>
      <w:r>
        <w:rPr>
          <w:rFonts w:hint="eastAsia" w:ascii="黑体" w:hAnsi="黑体" w:eastAsia="黑体"/>
          <w:color w:val="000000"/>
          <w:sz w:val="44"/>
          <w:szCs w:val="32"/>
        </w:rPr>
        <w:t>目 录</w:t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黑体" w:hAnsi="黑体" w:eastAsia="黑体"/>
          <w:color w:val="000000"/>
          <w:sz w:val="36"/>
          <w:szCs w:val="32"/>
        </w:rPr>
      </w:pP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hint="eastAsia" w:ascii="黑体" w:hAnsi="黑体" w:eastAsia="黑体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一、部门主要职责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二、机构设置情况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第二部分 2018年部门预算情况说明 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第三部分 名词解释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附件：濮阳市华龙区农机局2018</w:t>
      </w:r>
      <w:r>
        <w:rPr>
          <w:rFonts w:hint="eastAsia"/>
          <w:color w:val="000000"/>
          <w:spacing w:val="-116"/>
          <w:sz w:val="32"/>
          <w:szCs w:val="32"/>
        </w:rPr>
        <w:t> </w:t>
      </w:r>
      <w:r>
        <w:rPr>
          <w:rFonts w:hint="eastAsia" w:ascii="黑体" w:hAnsi="黑体" w:eastAsia="黑体"/>
          <w:color w:val="000000"/>
          <w:sz w:val="32"/>
          <w:szCs w:val="32"/>
        </w:rPr>
        <w:t>年部门预算表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一、部门收支总体情况表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二、部门收入总体情况表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三、部门支出总体情况表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四、财政拨款收支总体情况表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五、一般公共预算支出情况表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六、一般公共预算基本支出情况表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七、一般公共预算“三公”经费支出情况表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八、政府性基金预算支出情况表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第一部分</w:t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部门概况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 </w:t>
      </w:r>
    </w:p>
    <w:p>
      <w:pPr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一、部门主要职责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贯彻执行国家省、市有关农机化工作方针政策，结合本区实际拟定执行办法并组织实施、督促和检查。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参与研究制定农业和农村发展意见、负责拟定全区农业机械化、设施农业工程等发展规划；规划并实施农机化科研及推广应用项目。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负责拖拉机、联合收割机等农业机械的使用管理、登记入户、核发牌证及农机驾驶操作人员考试、考核发证、年度审验工作，指导协调农用机械的道路交通管理工作，负责乡村道路、田间场院农机事故的调查处理，拟定农机安全监理工作办法和措施并监督实施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组织协调农业机械开展社会化服务、规模经营、科技示范，规范、指导作业市场。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指导农业机械使用维修管理工作；负责农机职业技术教育工作。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负责农机化统计和分析，收集并预测有关农机行业的技术信息。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规范指导全区农机供应企业的经济活动。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8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承办上交交办的其他工作。</w:t>
      </w:r>
    </w:p>
    <w:p>
      <w:pPr>
        <w:ind w:firstLine="480" w:firstLineChars="1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二、机构设置情况</w:t>
      </w:r>
    </w:p>
    <w:p>
      <w:pPr>
        <w:ind w:firstLine="480" w:firstLineChars="15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根据工作职责及实际工作需要，华龙区农机局设有办公室、管理站、推广站、监理站4个内设机构，本部门经费实行全额预算管理。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黑体" w:hAnsi="黑体" w:eastAsia="黑体"/>
          <w:color w:val="000000"/>
          <w:sz w:val="36"/>
          <w:szCs w:val="32"/>
        </w:rPr>
      </w:pP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第二部分</w:t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2018年部门预算情况说明</w:t>
      </w:r>
    </w:p>
    <w:p>
      <w:pPr>
        <w:ind w:firstLine="640" w:firstLineChars="200"/>
        <w:rPr>
          <w:rFonts w:ascii="华文仿宋" w:hAnsi="华文仿宋" w:eastAsia="华文仿宋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一、本级预算和所属单位预算在内的汇总预算总体情况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本部门无独立核算的下属预算单位，部门本级预算即汇总预算。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8年本部门财政预算收入总计113.56万元，支出总计113.56万元。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二、部门预算收支增减变动情况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8年本部门财政预算收入总计113.56万元，支出总计113.56万元。其中：基本支出91.56万元，占比80.63%，项目支出22万元，占比19.37%。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2018年本部门财政预算较上年增加6.48万元，增长6.05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。主要原因是由于人员工资标准的提高。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8年本部门机关运行经费安排4.8万元，主要用于办公费、专用材料费、“三公”经费、会议费、培训费，比上年减少0万元，减少0%，主要原因是人员无变化，机关运行经费无变化。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8年本部门“三公”经费预算4.92万元，较上年增加了4.92万元，主要原因是工作量增大，下乡次数增加。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1.因公出国（境）费0万元；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2.公务用车</w:t>
      </w:r>
      <w:bookmarkStart w:id="0" w:name="_Hlk527102369"/>
      <w:r>
        <w:rPr>
          <w:rFonts w:hint="eastAsia" w:ascii="仿宋" w:hAnsi="仿宋" w:eastAsia="仿宋"/>
          <w:sz w:val="32"/>
          <w:szCs w:val="32"/>
        </w:rPr>
        <w:t>购置及运行</w:t>
      </w:r>
      <w:bookmarkEnd w:id="0"/>
      <w:r>
        <w:rPr>
          <w:rFonts w:hint="eastAsia" w:ascii="仿宋" w:hAnsi="仿宋" w:eastAsia="仿宋"/>
          <w:sz w:val="32"/>
          <w:szCs w:val="32"/>
        </w:rPr>
        <w:t>费4.2万元，其中：公务用车购置0万元，公务用车运行费4.2万元。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3.公务接待费0.72万元。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五、政府采购安排情况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8年本部门无政府采购预算安排。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六、政府性基金预算安排情况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本部门无使用政府性基金预算安排的支出。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</w:rPr>
        <w:t>七、预算绩效管理工作开展情况说明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按照《濮阳市华龙区财政局关于编制区级2018年部门预算（草案）和2018-2020年财政规划的通知》（华龙财〔2018〕2号）有关强化预算绩效管理导向方面要求，本部门牢固树立“讲绩效、重绩效、用绩效”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</w:rPr>
      </w:pPr>
      <w:bookmarkStart w:id="1" w:name="_GoBack"/>
      <w:bookmarkEnd w:id="1"/>
      <w:r>
        <w:rPr>
          <w:rFonts w:ascii="黑体" w:hAnsi="黑体" w:eastAsia="黑体"/>
          <w:color w:val="000000" w:themeColor="text1"/>
          <w:sz w:val="32"/>
          <w:szCs w:val="32"/>
        </w:rPr>
        <w:t>八</w:t>
      </w:r>
      <w:r>
        <w:rPr>
          <w:rFonts w:hint="eastAsia" w:ascii="黑体" w:hAnsi="黑体" w:eastAsia="黑体"/>
          <w:color w:val="000000" w:themeColor="text1"/>
          <w:sz w:val="32"/>
          <w:szCs w:val="32"/>
        </w:rPr>
        <w:t>、</w:t>
      </w:r>
      <w:r>
        <w:rPr>
          <w:rFonts w:ascii="黑体" w:hAnsi="黑体" w:eastAsia="黑体"/>
          <w:color w:val="000000" w:themeColor="text1"/>
          <w:sz w:val="32"/>
          <w:szCs w:val="32"/>
        </w:rPr>
        <w:t>国有资产占用情况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color w:val="000000" w:themeColor="text1"/>
          <w:sz w:val="32"/>
          <w:szCs w:val="32"/>
        </w:rPr>
        <w:t>2017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年期末，本部门共有车辆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辆，其中：一般公务用车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辆、一般执法执勤用车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辆、特种专业技术用车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辆，其他用车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单位价值</w:t>
      </w:r>
      <w:r>
        <w:rPr>
          <w:rFonts w:ascii="仿宋" w:hAnsi="仿宋" w:eastAsia="仿宋"/>
          <w:color w:val="000000" w:themeColor="text1"/>
          <w:sz w:val="32"/>
          <w:szCs w:val="32"/>
        </w:rPr>
        <w:t>50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万元以上通用设备</w:t>
      </w:r>
      <w:r>
        <w:rPr>
          <w:rFonts w:ascii="仿宋" w:hAnsi="仿宋" w:eastAsia="仿宋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台（套），单位价值</w:t>
      </w:r>
      <w:r>
        <w:rPr>
          <w:rFonts w:ascii="仿宋" w:hAnsi="仿宋" w:eastAsia="仿宋"/>
          <w:color w:val="000000" w:themeColor="text1"/>
          <w:sz w:val="32"/>
          <w:szCs w:val="32"/>
        </w:rPr>
        <w:t>100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万元以上专用设备</w:t>
      </w:r>
      <w:r>
        <w:rPr>
          <w:rFonts w:ascii="仿宋" w:hAnsi="仿宋" w:eastAsia="仿宋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台（套）。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第三部分</w:t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名词解释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一、财政拨款收入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指本级财政当年拨付的资金。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二、事业收入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指事业单位开展专务活动及辅助所取得的收入。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三、其他收入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指除上述“财政拨款”、“事业收入”、“事业单位经营收入”、“附属单位上缴收入”等以外的收入。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四、基本支出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指为保障机构正常运转、完成日常工作任务所必需的开支，其内容包括人员经费和日常公用经费两部分。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五、项目支出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指在基本支出之外，为完成特定的行政工作任务或事业发展目标所发生的支出。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464"/>
    <w:rsid w:val="001071AA"/>
    <w:rsid w:val="00210C03"/>
    <w:rsid w:val="00431A27"/>
    <w:rsid w:val="00864AAE"/>
    <w:rsid w:val="00997464"/>
    <w:rsid w:val="00CB3085"/>
    <w:rsid w:val="00E32B49"/>
    <w:rsid w:val="00EC5886"/>
    <w:rsid w:val="00F51346"/>
    <w:rsid w:val="344B6C96"/>
    <w:rsid w:val="5B0E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6">
    <w:name w:val="页脚 字符"/>
    <w:link w:val="2"/>
    <w:semiHidden/>
    <w:uiPriority w:val="0"/>
    <w:rPr>
      <w:rFonts w:cs="Times New Roman"/>
      <w:sz w:val="18"/>
    </w:rPr>
  </w:style>
  <w:style w:type="character" w:customStyle="1" w:styleId="7">
    <w:name w:val="页眉 字符"/>
    <w:link w:val="3"/>
    <w:semiHidden/>
    <w:uiPriority w:val="0"/>
    <w:rPr>
      <w:rFonts w:cs="Times New Roman"/>
      <w:sz w:val="18"/>
    </w:rPr>
  </w:style>
  <w:style w:type="paragraph" w:customStyle="1" w:styleId="8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273</Words>
  <Characters>1560</Characters>
  <Lines>13</Lines>
  <Paragraphs>3</Paragraphs>
  <TotalTime>4</TotalTime>
  <ScaleCrop>false</ScaleCrop>
  <LinksUpToDate>false</LinksUpToDate>
  <CharactersWithSpaces>1830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2017-10-31T11:18:00Z</dcterms:created>
  <dc:creator>lenovo</dc:creator>
  <cp:lastModifiedBy>ncg-强军</cp:lastModifiedBy>
  <dcterms:modified xsi:type="dcterms:W3CDTF">2018-10-31T02:32:48Z</dcterms:modified>
  <dc:title>Administrator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