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方正小标宋_GBK" w:eastAsia="方正小标宋_GBK"/>
          <w:sz w:val="40"/>
        </w:rPr>
      </w:pPr>
    </w:p>
    <w:p>
      <w:pPr>
        <w:rPr>
          <w:rFonts w:ascii="方正小标宋_GBK" w:eastAsia="方正小标宋_GBK"/>
          <w:sz w:val="40"/>
        </w:rPr>
      </w:pPr>
    </w:p>
    <w:p>
      <w:pPr>
        <w:rPr>
          <w:rFonts w:ascii="方正小标宋_GBK" w:eastAsia="方正小标宋_GBK"/>
          <w:sz w:val="40"/>
        </w:rPr>
      </w:pPr>
    </w:p>
    <w:p>
      <w:pPr>
        <w:jc w:val="center"/>
        <w:rPr>
          <w:rFonts w:ascii="方正小标宋_GBK" w:eastAsia="方正小标宋_GBK"/>
          <w:w w:val="85"/>
          <w:sz w:val="56"/>
        </w:rPr>
      </w:pPr>
      <w:r>
        <w:rPr>
          <w:rFonts w:hint="eastAsia" w:ascii="方正小标宋_GBK" w:eastAsia="方正小标宋_GBK"/>
          <w:w w:val="85"/>
          <w:sz w:val="56"/>
        </w:rPr>
        <w:t>濮阳市华龙区政府办</w:t>
      </w:r>
    </w:p>
    <w:p>
      <w:pPr>
        <w:jc w:val="center"/>
        <w:rPr>
          <w:rFonts w:ascii="方正小标宋_GBK" w:eastAsia="方正小标宋_GBK"/>
          <w:spacing w:val="-20"/>
          <w:sz w:val="44"/>
        </w:rPr>
      </w:pPr>
      <w:r>
        <w:rPr>
          <w:rFonts w:hint="eastAsia" w:ascii="方正小标宋_GBK" w:eastAsia="方正小标宋_GBK"/>
          <w:w w:val="85"/>
          <w:sz w:val="56"/>
        </w:rPr>
        <w:t>2018年部门预算公开说明</w:t>
      </w:r>
    </w:p>
    <w:p>
      <w:pPr>
        <w:jc w:val="center"/>
        <w:rPr>
          <w:rFonts w:ascii="方正小标宋_GBK" w:eastAsia="方正小标宋_GBK"/>
          <w:sz w:val="40"/>
        </w:rPr>
      </w:pPr>
    </w:p>
    <w:p>
      <w:pPr>
        <w:jc w:val="center"/>
        <w:rPr>
          <w:rFonts w:ascii="方正小标宋_GBK" w:eastAsia="方正小标宋_GBK"/>
          <w:sz w:val="40"/>
        </w:rPr>
      </w:pPr>
    </w:p>
    <w:p>
      <w:pPr>
        <w:jc w:val="center"/>
        <w:rPr>
          <w:rFonts w:ascii="方正小标宋_GBK" w:eastAsia="方正小标宋_GBK"/>
          <w:sz w:val="40"/>
        </w:rPr>
      </w:pPr>
    </w:p>
    <w:p>
      <w:pPr>
        <w:jc w:val="center"/>
        <w:rPr>
          <w:rFonts w:ascii="方正小标宋_GBK" w:eastAsia="方正小标宋_GBK"/>
          <w:sz w:val="40"/>
        </w:rPr>
      </w:pPr>
    </w:p>
    <w:p>
      <w:pPr>
        <w:jc w:val="center"/>
        <w:rPr>
          <w:rFonts w:ascii="方正小标宋_GBK" w:eastAsia="方正小标宋_GBK"/>
          <w:sz w:val="40"/>
        </w:rPr>
      </w:pPr>
    </w:p>
    <w:p>
      <w:pPr>
        <w:jc w:val="center"/>
        <w:rPr>
          <w:rFonts w:ascii="方正小标宋_GBK" w:eastAsia="方正小标宋_GBK"/>
          <w:sz w:val="40"/>
        </w:rPr>
      </w:pPr>
    </w:p>
    <w:p>
      <w:pPr>
        <w:jc w:val="center"/>
        <w:rPr>
          <w:rFonts w:ascii="方正小标宋_GBK" w:eastAsia="方正小标宋_GBK"/>
          <w:sz w:val="40"/>
        </w:rPr>
      </w:pPr>
    </w:p>
    <w:p>
      <w:pPr>
        <w:jc w:val="center"/>
        <w:rPr>
          <w:rFonts w:ascii="方正小标宋_GBK" w:eastAsia="方正小标宋_GBK"/>
          <w:sz w:val="40"/>
        </w:rPr>
      </w:pPr>
      <w:r>
        <w:rPr>
          <w:rFonts w:hint="eastAsia" w:ascii="楷体_GB2312" w:eastAsia="楷体_GB2312"/>
          <w:b/>
          <w:w w:val="90"/>
          <w:sz w:val="40"/>
        </w:rPr>
        <w:t>二</w:t>
      </w:r>
      <w:r>
        <w:rPr>
          <w:rFonts w:hint="eastAsia" w:ascii="宋体" w:hAnsi="宋体" w:cs="宋体"/>
          <w:b/>
          <w:w w:val="90"/>
          <w:sz w:val="40"/>
        </w:rPr>
        <w:t>〇</w:t>
      </w:r>
      <w:r>
        <w:rPr>
          <w:rFonts w:hint="eastAsia" w:ascii="楷体_GB2312" w:hAnsi="楷体_GB2312" w:eastAsia="楷体_GB2312" w:cs="楷体_GB2312"/>
          <w:b/>
          <w:w w:val="90"/>
          <w:sz w:val="40"/>
        </w:rPr>
        <w:t>一八年九月</w:t>
      </w:r>
    </w:p>
    <w:p>
      <w:pPr>
        <w:jc w:val="both"/>
        <w:rPr>
          <w:rFonts w:ascii="方正小标宋_GBK" w:eastAsia="方正小标宋_GBK"/>
          <w:sz w:val="32"/>
        </w:rPr>
      </w:pPr>
    </w:p>
    <w:p>
      <w:pPr>
        <w:jc w:val="both"/>
        <w:rPr>
          <w:rFonts w:ascii="方正小标宋_GBK" w:eastAsia="方正小标宋_GBK"/>
          <w:sz w:val="32"/>
        </w:rPr>
      </w:pPr>
    </w:p>
    <w:p>
      <w:pPr>
        <w:pStyle w:val="4"/>
        <w:topLinePunct/>
        <w:spacing w:before="0" w:beforeAutospacing="0" w:after="0" w:afterAutospacing="0" w:line="360" w:lineRule="auto"/>
        <w:jc w:val="center"/>
        <w:rPr>
          <w:rFonts w:ascii="黑体" w:hAnsi="黑体" w:eastAsia="黑体"/>
          <w:color w:val="000000"/>
          <w:sz w:val="44"/>
          <w:szCs w:val="32"/>
        </w:rPr>
      </w:pPr>
      <w:r>
        <w:rPr>
          <w:rFonts w:hint="eastAsia" w:ascii="黑体" w:hAnsi="黑体" w:eastAsia="黑体"/>
          <w:color w:val="000000"/>
          <w:sz w:val="44"/>
          <w:szCs w:val="32"/>
        </w:rPr>
        <w:t>目 录</w:t>
      </w:r>
    </w:p>
    <w:p>
      <w:pPr>
        <w:pStyle w:val="4"/>
        <w:topLinePunct/>
        <w:spacing w:before="0" w:beforeAutospacing="0" w:after="0" w:afterAutospacing="0" w:line="360" w:lineRule="auto"/>
        <w:jc w:val="center"/>
        <w:rPr>
          <w:rFonts w:ascii="黑体" w:hAnsi="黑体" w:eastAsia="黑体"/>
          <w:color w:val="000000"/>
          <w:sz w:val="36"/>
          <w:szCs w:val="32"/>
        </w:rPr>
      </w:pPr>
    </w:p>
    <w:p>
      <w:pPr>
        <w:pStyle w:val="4"/>
        <w:overflowPunct w:val="0"/>
        <w:topLinePunct/>
        <w:spacing w:before="0" w:beforeAutospacing="0" w:after="0" w:afterAutospacing="0" w:line="360" w:lineRule="auto"/>
        <w:ind w:firstLine="640"/>
        <w:jc w:val="both"/>
        <w:rPr>
          <w:color w:val="000000"/>
        </w:rPr>
      </w:pPr>
      <w:r>
        <w:rPr>
          <w:rFonts w:hint="eastAsia" w:ascii="黑体" w:hAnsi="黑体" w:eastAsia="黑体"/>
          <w:color w:val="000000"/>
          <w:sz w:val="32"/>
          <w:szCs w:val="32"/>
        </w:rPr>
        <w:t>第一部分</w:t>
      </w:r>
      <w:r>
        <w:rPr>
          <w:rFonts w:hint="eastAsia"/>
          <w:color w:val="000000"/>
          <w:sz w:val="32"/>
          <w:szCs w:val="32"/>
        </w:rPr>
        <w:t xml:space="preserve"> </w:t>
      </w:r>
      <w:r>
        <w:rPr>
          <w:rFonts w:hint="eastAsia" w:ascii="黑体" w:hAnsi="黑体" w:eastAsia="黑体"/>
          <w:color w:val="000000"/>
          <w:sz w:val="32"/>
          <w:szCs w:val="32"/>
        </w:rPr>
        <w:t>部门概况</w:t>
      </w:r>
      <w:r>
        <w:rPr>
          <w:rFonts w:hint="eastAsia"/>
          <w:color w:val="000000"/>
          <w:sz w:val="32"/>
          <w:szCs w:val="32"/>
        </w:rPr>
        <w:t> </w:t>
      </w:r>
    </w:p>
    <w:p>
      <w:pPr>
        <w:pStyle w:val="4"/>
        <w:overflowPunct w:val="0"/>
        <w:topLinePunct/>
        <w:spacing w:before="0" w:beforeAutospacing="0" w:after="0" w:afterAutospacing="0" w:line="360" w:lineRule="auto"/>
        <w:ind w:firstLine="960"/>
        <w:rPr>
          <w:color w:val="000000"/>
        </w:rPr>
      </w:pPr>
      <w:r>
        <w:rPr>
          <w:rFonts w:hint="eastAsia" w:ascii="仿宋_GB2312" w:eastAsia="仿宋_GB2312"/>
          <w:color w:val="000000"/>
          <w:sz w:val="32"/>
          <w:szCs w:val="32"/>
        </w:rPr>
        <w:t>一、部门主要职责</w:t>
      </w:r>
    </w:p>
    <w:p>
      <w:pPr>
        <w:pStyle w:val="4"/>
        <w:overflowPunct w:val="0"/>
        <w:topLinePunct/>
        <w:spacing w:before="0" w:beforeAutospacing="0" w:after="0" w:afterAutospacing="0" w:line="360" w:lineRule="auto"/>
        <w:ind w:firstLine="960"/>
        <w:rPr>
          <w:color w:val="000000"/>
        </w:rPr>
      </w:pPr>
      <w:r>
        <w:rPr>
          <w:rFonts w:hint="eastAsia" w:ascii="仿宋_GB2312" w:eastAsia="仿宋_GB2312"/>
          <w:color w:val="000000"/>
          <w:sz w:val="32"/>
          <w:szCs w:val="32"/>
        </w:rPr>
        <w:t>二、机构设置情况</w:t>
      </w:r>
    </w:p>
    <w:p>
      <w:pPr>
        <w:pStyle w:val="4"/>
        <w:overflowPunct w:val="0"/>
        <w:topLinePunct/>
        <w:spacing w:before="0" w:beforeAutospacing="0" w:after="0" w:afterAutospacing="0" w:line="360" w:lineRule="auto"/>
        <w:ind w:firstLine="640"/>
        <w:jc w:val="both"/>
        <w:rPr>
          <w:rFonts w:ascii="黑体" w:hAnsi="黑体" w:eastAsia="黑体"/>
          <w:color w:val="000000"/>
          <w:sz w:val="32"/>
          <w:szCs w:val="32"/>
        </w:rPr>
      </w:pPr>
      <w:r>
        <w:rPr>
          <w:rFonts w:hint="eastAsia" w:ascii="黑体" w:hAnsi="黑体" w:eastAsia="黑体"/>
          <w:color w:val="000000"/>
          <w:sz w:val="32"/>
          <w:szCs w:val="32"/>
        </w:rPr>
        <w:t>第二部分 2018年部门预算情况说明 </w:t>
      </w:r>
    </w:p>
    <w:p>
      <w:pPr>
        <w:pStyle w:val="4"/>
        <w:overflowPunct w:val="0"/>
        <w:topLinePunct/>
        <w:spacing w:before="0" w:beforeAutospacing="0" w:after="0" w:afterAutospacing="0" w:line="360" w:lineRule="auto"/>
        <w:ind w:firstLine="640"/>
        <w:jc w:val="both"/>
        <w:rPr>
          <w:rFonts w:ascii="黑体" w:hAnsi="黑体" w:eastAsia="黑体"/>
          <w:color w:val="000000"/>
          <w:sz w:val="32"/>
          <w:szCs w:val="32"/>
        </w:rPr>
      </w:pPr>
      <w:r>
        <w:rPr>
          <w:rFonts w:hint="eastAsia" w:ascii="黑体" w:hAnsi="黑体" w:eastAsia="黑体"/>
          <w:color w:val="000000"/>
          <w:sz w:val="32"/>
          <w:szCs w:val="32"/>
        </w:rPr>
        <w:t>第三部分 名词解释</w:t>
      </w:r>
    </w:p>
    <w:p>
      <w:pPr>
        <w:pStyle w:val="4"/>
        <w:overflowPunct w:val="0"/>
        <w:topLinePunct/>
        <w:spacing w:before="0" w:beforeAutospacing="0" w:after="0" w:afterAutospacing="0" w:line="360" w:lineRule="auto"/>
        <w:ind w:firstLine="640"/>
        <w:jc w:val="both"/>
        <w:rPr>
          <w:color w:val="000000"/>
        </w:rPr>
      </w:pPr>
      <w:r>
        <w:rPr>
          <w:rFonts w:hint="eastAsia" w:ascii="黑体" w:hAnsi="黑体" w:eastAsia="黑体"/>
          <w:color w:val="000000"/>
          <w:sz w:val="32"/>
          <w:szCs w:val="32"/>
        </w:rPr>
        <w:t>附件：濮阳市华</w:t>
      </w:r>
      <w:r>
        <w:rPr>
          <w:rFonts w:hint="eastAsia" w:ascii="黑体" w:hAnsi="黑体" w:eastAsia="黑体"/>
          <w:sz w:val="32"/>
          <w:szCs w:val="32"/>
        </w:rPr>
        <w:t>龙区政府办</w:t>
      </w:r>
      <w:r>
        <w:rPr>
          <w:rFonts w:hint="eastAsia" w:ascii="黑体" w:hAnsi="黑体" w:eastAsia="黑体"/>
          <w:color w:val="000000"/>
          <w:sz w:val="32"/>
          <w:szCs w:val="32"/>
        </w:rPr>
        <w:t>2018</w:t>
      </w:r>
      <w:r>
        <w:rPr>
          <w:rFonts w:hint="eastAsia"/>
          <w:color w:val="000000"/>
          <w:spacing w:val="-116"/>
          <w:sz w:val="32"/>
          <w:szCs w:val="32"/>
        </w:rPr>
        <w:t> </w:t>
      </w:r>
      <w:r>
        <w:rPr>
          <w:rFonts w:hint="eastAsia" w:ascii="黑体" w:hAnsi="黑体" w:eastAsia="黑体"/>
          <w:color w:val="000000"/>
          <w:sz w:val="32"/>
          <w:szCs w:val="32"/>
        </w:rPr>
        <w:t>年部门预算表</w:t>
      </w:r>
    </w:p>
    <w:p>
      <w:pPr>
        <w:pStyle w:val="4"/>
        <w:overflowPunct w:val="0"/>
        <w:topLinePunct/>
        <w:spacing w:before="0" w:beforeAutospacing="0" w:after="0" w:afterAutospacing="0" w:line="360" w:lineRule="auto"/>
        <w:ind w:firstLine="960"/>
        <w:rPr>
          <w:color w:val="000000"/>
        </w:rPr>
      </w:pPr>
      <w:r>
        <w:rPr>
          <w:rFonts w:hint="eastAsia" w:ascii="仿宋_GB2312" w:eastAsia="仿宋_GB2312"/>
          <w:color w:val="000000"/>
          <w:sz w:val="32"/>
          <w:szCs w:val="32"/>
        </w:rPr>
        <w:t>一、部门收支总体情况表</w:t>
      </w:r>
    </w:p>
    <w:p>
      <w:pPr>
        <w:pStyle w:val="4"/>
        <w:overflowPunct w:val="0"/>
        <w:topLinePunct/>
        <w:spacing w:before="0" w:beforeAutospacing="0" w:after="0" w:afterAutospacing="0" w:line="360" w:lineRule="auto"/>
        <w:ind w:firstLine="960"/>
        <w:rPr>
          <w:color w:val="000000"/>
        </w:rPr>
      </w:pPr>
      <w:r>
        <w:rPr>
          <w:rFonts w:hint="eastAsia" w:ascii="仿宋_GB2312" w:eastAsia="仿宋_GB2312"/>
          <w:color w:val="000000"/>
          <w:sz w:val="32"/>
          <w:szCs w:val="32"/>
        </w:rPr>
        <w:t>二、部门收入总体情况表</w:t>
      </w:r>
    </w:p>
    <w:p>
      <w:pPr>
        <w:pStyle w:val="4"/>
        <w:overflowPunct w:val="0"/>
        <w:topLinePunct/>
        <w:spacing w:before="0" w:beforeAutospacing="0" w:after="0" w:afterAutospacing="0" w:line="360" w:lineRule="auto"/>
        <w:ind w:firstLine="960"/>
        <w:rPr>
          <w:color w:val="000000"/>
        </w:rPr>
      </w:pPr>
      <w:r>
        <w:rPr>
          <w:rFonts w:hint="eastAsia" w:ascii="仿宋_GB2312" w:eastAsia="仿宋_GB2312"/>
          <w:color w:val="000000"/>
          <w:sz w:val="32"/>
          <w:szCs w:val="32"/>
        </w:rPr>
        <w:t>三、部门支出总体情况表</w:t>
      </w:r>
    </w:p>
    <w:p>
      <w:pPr>
        <w:pStyle w:val="4"/>
        <w:overflowPunct w:val="0"/>
        <w:topLinePunct/>
        <w:spacing w:before="0" w:beforeAutospacing="0" w:after="0" w:afterAutospacing="0" w:line="360" w:lineRule="auto"/>
        <w:ind w:firstLine="960"/>
        <w:rPr>
          <w:color w:val="000000"/>
        </w:rPr>
      </w:pPr>
      <w:r>
        <w:rPr>
          <w:rFonts w:hint="eastAsia" w:ascii="仿宋_GB2312" w:eastAsia="仿宋_GB2312"/>
          <w:color w:val="000000"/>
          <w:sz w:val="32"/>
          <w:szCs w:val="32"/>
        </w:rPr>
        <w:t>四、财政拨款收支总体情况表</w:t>
      </w:r>
    </w:p>
    <w:p>
      <w:pPr>
        <w:pStyle w:val="4"/>
        <w:overflowPunct w:val="0"/>
        <w:topLinePunct/>
        <w:spacing w:before="0" w:beforeAutospacing="0" w:after="0" w:afterAutospacing="0" w:line="360" w:lineRule="auto"/>
        <w:ind w:firstLine="960"/>
        <w:rPr>
          <w:color w:val="000000"/>
        </w:rPr>
      </w:pPr>
      <w:r>
        <w:rPr>
          <w:rFonts w:hint="eastAsia" w:ascii="仿宋_GB2312" w:eastAsia="仿宋_GB2312"/>
          <w:color w:val="000000"/>
          <w:sz w:val="32"/>
          <w:szCs w:val="32"/>
        </w:rPr>
        <w:t>五、一般公共预算支出情况表</w:t>
      </w:r>
    </w:p>
    <w:p>
      <w:pPr>
        <w:pStyle w:val="4"/>
        <w:overflowPunct w:val="0"/>
        <w:topLinePunct/>
        <w:spacing w:before="0" w:beforeAutospacing="0" w:after="0" w:afterAutospacing="0" w:line="360" w:lineRule="auto"/>
        <w:ind w:firstLine="960"/>
        <w:rPr>
          <w:color w:val="000000"/>
        </w:rPr>
      </w:pPr>
      <w:r>
        <w:rPr>
          <w:rFonts w:hint="eastAsia" w:ascii="仿宋_GB2312" w:eastAsia="仿宋_GB2312"/>
          <w:color w:val="000000"/>
          <w:sz w:val="32"/>
          <w:szCs w:val="32"/>
        </w:rPr>
        <w:t>六、一般公共预算基本支出情况表</w:t>
      </w:r>
    </w:p>
    <w:p>
      <w:pPr>
        <w:pStyle w:val="4"/>
        <w:overflowPunct w:val="0"/>
        <w:topLinePunct/>
        <w:spacing w:before="0" w:beforeAutospacing="0" w:after="0" w:afterAutospacing="0" w:line="360" w:lineRule="auto"/>
        <w:ind w:firstLine="960"/>
        <w:rPr>
          <w:color w:val="000000"/>
        </w:rPr>
      </w:pPr>
      <w:r>
        <w:rPr>
          <w:rFonts w:hint="eastAsia" w:ascii="仿宋_GB2312" w:eastAsia="仿宋_GB2312"/>
          <w:color w:val="000000"/>
          <w:sz w:val="32"/>
          <w:szCs w:val="32"/>
        </w:rPr>
        <w:t>七、一般公共预算“三公”经费支出情况表</w:t>
      </w:r>
    </w:p>
    <w:p>
      <w:pPr>
        <w:pStyle w:val="4"/>
        <w:overflowPunct w:val="0"/>
        <w:topLinePunct/>
        <w:spacing w:before="0" w:beforeAutospacing="0" w:after="0" w:afterAutospacing="0" w:line="360" w:lineRule="auto"/>
        <w:ind w:firstLine="960"/>
        <w:rPr>
          <w:color w:val="000000"/>
        </w:rPr>
      </w:pPr>
      <w:r>
        <w:rPr>
          <w:rFonts w:hint="eastAsia" w:ascii="仿宋_GB2312" w:eastAsia="仿宋_GB2312"/>
          <w:color w:val="000000"/>
          <w:sz w:val="32"/>
          <w:szCs w:val="32"/>
        </w:rPr>
        <w:t>八、政府性基金预算支出情况表</w:t>
      </w:r>
    </w:p>
    <w:p>
      <w:pPr>
        <w:ind w:firstLine="640" w:firstLineChars="200"/>
        <w:rPr>
          <w:rFonts w:ascii="黑体" w:hAnsi="黑体" w:eastAsia="黑体"/>
          <w:sz w:val="32"/>
          <w:szCs w:val="32"/>
        </w:rPr>
      </w:pPr>
    </w:p>
    <w:p>
      <w:pPr>
        <w:rPr>
          <w:rFonts w:ascii="黑体" w:hAnsi="黑体" w:eastAsia="黑体"/>
          <w:sz w:val="32"/>
          <w:szCs w:val="32"/>
        </w:rPr>
      </w:pPr>
      <w:r>
        <w:rPr>
          <w:rFonts w:ascii="黑体" w:hAnsi="黑体" w:eastAsia="黑体"/>
          <w:sz w:val="32"/>
          <w:szCs w:val="32"/>
        </w:rPr>
        <w:br w:type="page"/>
      </w:r>
    </w:p>
    <w:p>
      <w:pPr>
        <w:ind w:firstLine="640" w:firstLineChars="200"/>
        <w:rPr>
          <w:rFonts w:ascii="黑体" w:hAnsi="黑体" w:eastAsia="黑体"/>
          <w:sz w:val="32"/>
          <w:szCs w:val="32"/>
        </w:rPr>
      </w:pPr>
    </w:p>
    <w:p>
      <w:pPr>
        <w:pStyle w:val="4"/>
        <w:topLinePunct/>
        <w:spacing w:before="0" w:beforeAutospacing="0" w:after="0" w:afterAutospacing="0" w:line="360" w:lineRule="auto"/>
        <w:jc w:val="center"/>
        <w:rPr>
          <w:rFonts w:ascii="Calibri" w:hAnsi="Calibri"/>
          <w:color w:val="000000"/>
          <w:sz w:val="22"/>
          <w:szCs w:val="21"/>
        </w:rPr>
      </w:pPr>
      <w:r>
        <w:rPr>
          <w:rFonts w:hint="eastAsia" w:ascii="黑体" w:hAnsi="黑体" w:eastAsia="黑体"/>
          <w:color w:val="000000"/>
          <w:sz w:val="36"/>
          <w:szCs w:val="32"/>
        </w:rPr>
        <w:t>第一部分</w:t>
      </w:r>
    </w:p>
    <w:p>
      <w:pPr>
        <w:pStyle w:val="4"/>
        <w:topLinePunct/>
        <w:spacing w:before="0" w:beforeAutospacing="0" w:after="0" w:afterAutospacing="0" w:line="360" w:lineRule="auto"/>
        <w:jc w:val="center"/>
        <w:rPr>
          <w:rFonts w:ascii="Calibri" w:hAnsi="Calibri"/>
          <w:color w:val="000000"/>
          <w:sz w:val="22"/>
          <w:szCs w:val="21"/>
        </w:rPr>
      </w:pPr>
      <w:r>
        <w:rPr>
          <w:rFonts w:hint="eastAsia" w:ascii="黑体" w:hAnsi="黑体" w:eastAsia="黑体"/>
          <w:color w:val="000000"/>
          <w:sz w:val="36"/>
          <w:szCs w:val="32"/>
        </w:rPr>
        <w:t>部门概况</w:t>
      </w:r>
    </w:p>
    <w:p>
      <w:pPr>
        <w:ind w:firstLine="640" w:firstLineChars="200"/>
        <w:rPr>
          <w:rFonts w:ascii="黑体" w:hAnsi="黑体" w:eastAsia="黑体"/>
          <w:sz w:val="32"/>
          <w:szCs w:val="32"/>
        </w:rPr>
      </w:pPr>
      <w:r>
        <w:rPr>
          <w:rFonts w:ascii="黑体" w:hAnsi="黑体" w:eastAsia="黑体"/>
          <w:sz w:val="32"/>
          <w:szCs w:val="32"/>
        </w:rPr>
        <w:t> </w:t>
      </w:r>
    </w:p>
    <w:p>
      <w:pPr>
        <w:ind w:firstLine="640" w:firstLineChars="200"/>
        <w:rPr>
          <w:rFonts w:ascii="黑体" w:hAnsi="黑体" w:eastAsia="黑体"/>
          <w:sz w:val="32"/>
          <w:szCs w:val="32"/>
        </w:rPr>
      </w:pPr>
      <w:r>
        <w:rPr>
          <w:rFonts w:hint="eastAsia" w:ascii="黑体" w:hAnsi="黑体" w:eastAsia="黑体"/>
          <w:sz w:val="32"/>
          <w:szCs w:val="32"/>
        </w:rPr>
        <w:t>一、部门主要职责</w:t>
      </w:r>
    </w:p>
    <w:p>
      <w:pPr>
        <w:pStyle w:val="4"/>
        <w:spacing w:before="0" w:beforeAutospacing="0" w:after="0" w:afterAutospacing="0" w:line="600" w:lineRule="atLeast"/>
        <w:ind w:firstLine="640"/>
        <w:jc w:val="both"/>
        <w:rPr>
          <w:rFonts w:ascii="仿宋" w:hAnsi="仿宋" w:eastAsia="仿宋" w:cs="仿宋"/>
          <w:color w:val="000000"/>
          <w:sz w:val="32"/>
          <w:szCs w:val="32"/>
        </w:rPr>
      </w:pPr>
      <w:r>
        <w:rPr>
          <w:rFonts w:hint="eastAsia" w:ascii="仿宋" w:hAnsi="仿宋" w:eastAsia="仿宋" w:cs="仿宋"/>
          <w:color w:val="000000"/>
          <w:sz w:val="32"/>
          <w:szCs w:val="32"/>
        </w:rPr>
        <w:t>（一）认真贯彻执行党和国家的方针、政策、法规及区委、区人民政府的重大决策，了解、掌握全区经济和社会发展运行动态，组织开展调查研究和综合分析，及时、准确收集整理和反馈信息，为区人民政府领导科学决策当好参谋助手。</w:t>
      </w:r>
    </w:p>
    <w:p>
      <w:pPr>
        <w:pStyle w:val="4"/>
        <w:spacing w:before="0" w:beforeAutospacing="0" w:after="0" w:afterAutospacing="0" w:line="600" w:lineRule="atLeast"/>
        <w:ind w:firstLine="640"/>
        <w:jc w:val="both"/>
        <w:rPr>
          <w:rFonts w:ascii="仿宋" w:hAnsi="仿宋" w:eastAsia="仿宋" w:cs="仿宋"/>
          <w:color w:val="000000"/>
          <w:sz w:val="32"/>
          <w:szCs w:val="32"/>
        </w:rPr>
      </w:pPr>
      <w:r>
        <w:rPr>
          <w:rFonts w:hint="eastAsia" w:ascii="仿宋" w:hAnsi="仿宋" w:eastAsia="仿宋" w:cs="仿宋"/>
          <w:color w:val="000000"/>
          <w:sz w:val="32"/>
          <w:szCs w:val="32"/>
        </w:rPr>
        <w:t>（二）负责组织起草、审核以区人民政府和区人民政府办公室名义发布的公文，做好区人民政府和区人民政府办公室的日常文书处理以及区人民政府领导重要讲话的起草、审核工作。</w:t>
      </w:r>
    </w:p>
    <w:p>
      <w:pPr>
        <w:pStyle w:val="4"/>
        <w:spacing w:before="0" w:beforeAutospacing="0" w:after="0" w:afterAutospacing="0" w:line="600" w:lineRule="atLeast"/>
        <w:ind w:firstLine="640"/>
        <w:jc w:val="both"/>
        <w:rPr>
          <w:rFonts w:ascii="仿宋" w:hAnsi="仿宋" w:eastAsia="仿宋" w:cs="仿宋"/>
          <w:color w:val="000000"/>
          <w:sz w:val="32"/>
          <w:szCs w:val="32"/>
        </w:rPr>
      </w:pPr>
      <w:r>
        <w:rPr>
          <w:rFonts w:hint="eastAsia" w:ascii="仿宋" w:hAnsi="仿宋" w:eastAsia="仿宋" w:cs="仿宋"/>
          <w:color w:val="000000"/>
          <w:sz w:val="32"/>
          <w:szCs w:val="32"/>
        </w:rPr>
        <w:t>（三）负责协调各乡、街、园区及区人民政府各部门之间的工作，对请求区人民政府解决的问题提出建议和意见。</w:t>
      </w:r>
    </w:p>
    <w:p>
      <w:pPr>
        <w:pStyle w:val="4"/>
        <w:spacing w:before="0" w:beforeAutospacing="0" w:after="0" w:afterAutospacing="0" w:line="600" w:lineRule="atLeast"/>
        <w:ind w:firstLine="640"/>
        <w:jc w:val="both"/>
        <w:rPr>
          <w:rFonts w:ascii="仿宋" w:hAnsi="仿宋" w:eastAsia="仿宋" w:cs="仿宋"/>
          <w:color w:val="000000"/>
          <w:sz w:val="32"/>
          <w:szCs w:val="32"/>
        </w:rPr>
      </w:pPr>
      <w:r>
        <w:rPr>
          <w:rFonts w:hint="eastAsia" w:ascii="仿宋" w:hAnsi="仿宋" w:eastAsia="仿宋" w:cs="仿宋"/>
          <w:color w:val="000000"/>
          <w:sz w:val="32"/>
          <w:szCs w:val="32"/>
        </w:rPr>
        <w:t>（四）督促、检查党和国家各项方针、政策、法规贯彻落实情况，并对区委、区人民政府和上级领导交办的事项进行督查督办。</w:t>
      </w:r>
    </w:p>
    <w:p>
      <w:pPr>
        <w:pStyle w:val="4"/>
        <w:spacing w:before="0" w:beforeAutospacing="0" w:after="0" w:afterAutospacing="0" w:line="600" w:lineRule="atLeast"/>
        <w:ind w:firstLine="640"/>
        <w:jc w:val="both"/>
        <w:rPr>
          <w:rFonts w:ascii="仿宋" w:hAnsi="仿宋" w:eastAsia="仿宋" w:cs="仿宋"/>
          <w:color w:val="000000"/>
          <w:sz w:val="32"/>
          <w:szCs w:val="32"/>
        </w:rPr>
      </w:pPr>
      <w:r>
        <w:rPr>
          <w:rFonts w:hint="eastAsia" w:ascii="仿宋" w:hAnsi="仿宋" w:eastAsia="仿宋" w:cs="仿宋"/>
          <w:color w:val="000000"/>
          <w:sz w:val="32"/>
          <w:szCs w:val="32"/>
        </w:rPr>
        <w:t>（五）负责本级和上级交办的人大代表建议和批评意见、政协委员提案办理的组织落实和督办工作。</w:t>
      </w:r>
    </w:p>
    <w:p>
      <w:pPr>
        <w:pStyle w:val="4"/>
        <w:spacing w:before="0" w:beforeAutospacing="0" w:after="0" w:afterAutospacing="0" w:line="600" w:lineRule="atLeast"/>
        <w:ind w:firstLine="640"/>
        <w:jc w:val="both"/>
        <w:rPr>
          <w:rFonts w:ascii="仿宋" w:hAnsi="仿宋" w:eastAsia="仿宋" w:cs="仿宋"/>
          <w:color w:val="000000"/>
          <w:sz w:val="32"/>
          <w:szCs w:val="32"/>
        </w:rPr>
      </w:pPr>
      <w:r>
        <w:rPr>
          <w:rFonts w:hint="eastAsia" w:ascii="仿宋" w:hAnsi="仿宋" w:eastAsia="仿宋" w:cs="仿宋"/>
          <w:color w:val="000000"/>
          <w:sz w:val="32"/>
          <w:szCs w:val="32"/>
        </w:rPr>
        <w:t>（六）负责处理区人民政府的日常事务和政务，做好政府全体会议、常务会议、区长办公会议、政府党组会议以及区委、区人民政府交办的其他会议的筹备和服务工作，组织安排区人民政府领导的公务活动，按有关规定做好接待和后勤保障工作。</w:t>
      </w:r>
    </w:p>
    <w:p>
      <w:pPr>
        <w:pStyle w:val="4"/>
        <w:spacing w:before="0" w:beforeAutospacing="0" w:after="0" w:afterAutospacing="0" w:line="600" w:lineRule="atLeast"/>
        <w:ind w:firstLine="640"/>
        <w:jc w:val="both"/>
        <w:rPr>
          <w:rFonts w:ascii="仿宋" w:hAnsi="仿宋" w:eastAsia="仿宋" w:cs="仿宋"/>
          <w:color w:val="000000"/>
          <w:sz w:val="32"/>
          <w:szCs w:val="32"/>
        </w:rPr>
      </w:pPr>
      <w:r>
        <w:rPr>
          <w:rFonts w:hint="eastAsia" w:ascii="仿宋" w:hAnsi="仿宋" w:eastAsia="仿宋" w:cs="仿宋"/>
          <w:color w:val="000000"/>
          <w:sz w:val="32"/>
          <w:szCs w:val="32"/>
        </w:rPr>
        <w:t>（七）负责全区的法制工作，做好行政执法监督检查、行政复议应诉、行政赔偿、政府法制宣传教育、法律服务等工作。</w:t>
      </w:r>
    </w:p>
    <w:p>
      <w:pPr>
        <w:pStyle w:val="4"/>
        <w:spacing w:before="0" w:beforeAutospacing="0" w:after="0" w:afterAutospacing="0" w:line="600" w:lineRule="atLeast"/>
        <w:ind w:firstLine="640"/>
        <w:jc w:val="both"/>
        <w:rPr>
          <w:rFonts w:ascii="仿宋" w:hAnsi="仿宋" w:eastAsia="仿宋" w:cs="仿宋"/>
          <w:color w:val="000000"/>
          <w:sz w:val="32"/>
          <w:szCs w:val="32"/>
        </w:rPr>
      </w:pPr>
      <w:r>
        <w:rPr>
          <w:rFonts w:hint="eastAsia" w:ascii="仿宋" w:hAnsi="仿宋" w:eastAsia="仿宋" w:cs="仿宋"/>
          <w:color w:val="000000"/>
          <w:sz w:val="32"/>
          <w:szCs w:val="32"/>
        </w:rPr>
        <w:t>（八）负责政府值班室应急值守、上传下达以及机要通讯、文书档案、印鉴管理等工作，及时报告重要情况，传达区人民政府领导指示；协助区人民政府领导组织处理突发事件的应急处置工作。</w:t>
      </w:r>
    </w:p>
    <w:p>
      <w:pPr>
        <w:pStyle w:val="4"/>
        <w:spacing w:before="0" w:beforeAutospacing="0" w:after="0" w:afterAutospacing="0" w:line="600" w:lineRule="atLeast"/>
        <w:ind w:firstLine="640"/>
        <w:jc w:val="both"/>
        <w:rPr>
          <w:rFonts w:ascii="仿宋" w:hAnsi="仿宋" w:eastAsia="仿宋" w:cs="仿宋"/>
          <w:color w:val="000000"/>
          <w:sz w:val="32"/>
          <w:szCs w:val="32"/>
        </w:rPr>
      </w:pPr>
      <w:r>
        <w:rPr>
          <w:rFonts w:hint="eastAsia" w:ascii="仿宋" w:hAnsi="仿宋" w:eastAsia="仿宋" w:cs="仿宋"/>
          <w:color w:val="000000"/>
          <w:sz w:val="32"/>
          <w:szCs w:val="32"/>
        </w:rPr>
        <w:t>（九）负责区委、区人民政府关于优化经济发展环境的有关工作。</w:t>
      </w:r>
    </w:p>
    <w:p>
      <w:pPr>
        <w:pStyle w:val="4"/>
        <w:spacing w:before="0" w:beforeAutospacing="0" w:after="0" w:afterAutospacing="0" w:line="600" w:lineRule="atLeast"/>
        <w:ind w:firstLine="640"/>
        <w:jc w:val="both"/>
        <w:rPr>
          <w:rFonts w:ascii="仿宋" w:hAnsi="仿宋" w:eastAsia="仿宋" w:cs="仿宋"/>
          <w:color w:val="000000"/>
          <w:sz w:val="32"/>
          <w:szCs w:val="32"/>
        </w:rPr>
      </w:pPr>
      <w:r>
        <w:rPr>
          <w:rFonts w:hint="eastAsia" w:ascii="仿宋" w:hAnsi="仿宋" w:eastAsia="仿宋" w:cs="仿宋"/>
          <w:color w:val="000000"/>
          <w:sz w:val="32"/>
          <w:szCs w:val="32"/>
        </w:rPr>
        <w:t>(十)贯彻执行党和国家有关民族、宗教、外事侨务工作的方针、政策和法律、法规、规章；依法履行民族、宗教、外事侨务事务监督管理职责。</w:t>
      </w:r>
    </w:p>
    <w:p>
      <w:pPr>
        <w:pStyle w:val="4"/>
        <w:spacing w:before="0" w:beforeAutospacing="0" w:after="0" w:afterAutospacing="0" w:line="600" w:lineRule="atLeast"/>
        <w:ind w:firstLine="640"/>
        <w:jc w:val="both"/>
        <w:rPr>
          <w:rFonts w:ascii="仿宋" w:hAnsi="仿宋" w:eastAsia="仿宋" w:cs="仿宋"/>
          <w:color w:val="000000"/>
          <w:sz w:val="32"/>
          <w:szCs w:val="32"/>
        </w:rPr>
      </w:pPr>
      <w:r>
        <w:rPr>
          <w:rFonts w:hint="eastAsia" w:ascii="仿宋" w:hAnsi="仿宋" w:eastAsia="仿宋" w:cs="仿宋"/>
          <w:color w:val="000000"/>
          <w:sz w:val="32"/>
          <w:szCs w:val="32"/>
        </w:rPr>
        <w:t>（十一）负责全区政务公开工作、集中受理行政审批及公共服务项目。</w:t>
      </w:r>
    </w:p>
    <w:p>
      <w:pPr>
        <w:pStyle w:val="4"/>
        <w:spacing w:before="0" w:beforeAutospacing="0" w:after="0" w:afterAutospacing="0" w:line="600" w:lineRule="atLeast"/>
        <w:ind w:firstLine="640"/>
        <w:jc w:val="both"/>
        <w:rPr>
          <w:rFonts w:ascii="仿宋" w:hAnsi="仿宋" w:eastAsia="仿宋" w:cs="仿宋"/>
          <w:color w:val="000000"/>
          <w:sz w:val="32"/>
          <w:szCs w:val="32"/>
        </w:rPr>
      </w:pPr>
      <w:r>
        <w:rPr>
          <w:rFonts w:hint="eastAsia" w:ascii="仿宋" w:hAnsi="仿宋" w:eastAsia="仿宋" w:cs="仿宋"/>
          <w:color w:val="000000"/>
          <w:sz w:val="32"/>
          <w:szCs w:val="32"/>
        </w:rPr>
        <w:t>（十二）负责全区统计工作，确保统计数据真实、准确、及时。</w:t>
      </w:r>
    </w:p>
    <w:p>
      <w:pPr>
        <w:pStyle w:val="4"/>
        <w:spacing w:before="0" w:beforeAutospacing="0" w:after="0" w:afterAutospacing="0" w:line="600" w:lineRule="atLeast"/>
        <w:ind w:firstLine="640"/>
        <w:jc w:val="both"/>
        <w:rPr>
          <w:rFonts w:ascii="仿宋" w:hAnsi="仿宋" w:eastAsia="仿宋" w:cs="仿宋"/>
          <w:color w:val="000000"/>
          <w:sz w:val="32"/>
          <w:szCs w:val="32"/>
        </w:rPr>
      </w:pPr>
      <w:r>
        <w:rPr>
          <w:rFonts w:hint="eastAsia" w:ascii="仿宋" w:hAnsi="仿宋" w:eastAsia="仿宋" w:cs="仿宋"/>
          <w:color w:val="000000"/>
          <w:sz w:val="32"/>
          <w:szCs w:val="32"/>
        </w:rPr>
        <w:t>（十三）负责本单位的政工、财务、人事、党务、纪检、综治、廉政建设工作。</w:t>
      </w:r>
    </w:p>
    <w:p>
      <w:pPr>
        <w:pStyle w:val="4"/>
        <w:spacing w:before="0" w:beforeAutospacing="0" w:after="0" w:afterAutospacing="0" w:line="600" w:lineRule="atLeast"/>
        <w:ind w:firstLine="640"/>
        <w:jc w:val="both"/>
        <w:rPr>
          <w:rFonts w:ascii="仿宋" w:hAnsi="仿宋" w:eastAsia="仿宋" w:cs="仿宋"/>
          <w:color w:val="000000"/>
          <w:sz w:val="32"/>
          <w:szCs w:val="32"/>
        </w:rPr>
      </w:pPr>
      <w:r>
        <w:rPr>
          <w:rFonts w:hint="eastAsia" w:ascii="仿宋" w:hAnsi="仿宋" w:eastAsia="仿宋" w:cs="仿宋"/>
          <w:color w:val="000000"/>
          <w:sz w:val="32"/>
          <w:szCs w:val="32"/>
        </w:rPr>
        <w:t>（十四）承办区委、区政府交办的其他事项。</w:t>
      </w:r>
    </w:p>
    <w:p>
      <w:pPr>
        <w:ind w:firstLine="640" w:firstLineChars="200"/>
        <w:rPr>
          <w:rFonts w:ascii="黑体" w:hAnsi="黑体" w:eastAsia="黑体"/>
          <w:sz w:val="32"/>
          <w:szCs w:val="32"/>
        </w:rPr>
      </w:pPr>
      <w:r>
        <w:rPr>
          <w:rFonts w:hint="eastAsia" w:ascii="黑体" w:hAnsi="黑体" w:eastAsia="黑体"/>
          <w:sz w:val="32"/>
          <w:szCs w:val="32"/>
        </w:rPr>
        <w:t>二、机构设置情况</w:t>
      </w:r>
    </w:p>
    <w:p>
      <w:pPr>
        <w:ind w:firstLine="640" w:firstLineChars="200"/>
        <w:rPr>
          <w:rFonts w:ascii="仿宋" w:hAnsi="仿宋" w:eastAsia="仿宋"/>
          <w:sz w:val="32"/>
          <w:szCs w:val="32"/>
        </w:rPr>
      </w:pPr>
      <w:r>
        <w:rPr>
          <w:rFonts w:hint="eastAsia" w:ascii="仿宋" w:hAnsi="仿宋" w:eastAsia="仿宋"/>
          <w:sz w:val="32"/>
          <w:szCs w:val="32"/>
        </w:rPr>
        <w:t>根据工作职责及实际工作需要，华龙区政府办内设有综合科、文书科、秘书科、信息科、政务科、财务科，本部门经费实行全额预算管理。</w:t>
      </w:r>
    </w:p>
    <w:p>
      <w:pPr>
        <w:rPr>
          <w:rFonts w:ascii="黑体" w:hAnsi="黑体" w:eastAsia="黑体"/>
          <w:sz w:val="32"/>
          <w:szCs w:val="32"/>
        </w:rPr>
      </w:pPr>
    </w:p>
    <w:p>
      <w:pPr>
        <w:ind w:firstLine="640" w:firstLineChars="200"/>
        <w:rPr>
          <w:rFonts w:ascii="黑体" w:hAnsi="黑体" w:eastAsia="黑体"/>
          <w:sz w:val="32"/>
          <w:szCs w:val="32"/>
        </w:rPr>
      </w:pPr>
    </w:p>
    <w:p>
      <w:pPr>
        <w:pStyle w:val="4"/>
        <w:topLinePunct/>
        <w:spacing w:before="0" w:beforeAutospacing="0" w:after="0" w:afterAutospacing="0" w:line="360" w:lineRule="auto"/>
        <w:jc w:val="center"/>
        <w:rPr>
          <w:rFonts w:ascii="Calibri" w:hAnsi="Calibri"/>
          <w:color w:val="000000"/>
          <w:sz w:val="22"/>
          <w:szCs w:val="21"/>
        </w:rPr>
      </w:pPr>
      <w:r>
        <w:rPr>
          <w:rFonts w:hint="eastAsia" w:ascii="黑体" w:hAnsi="黑体" w:eastAsia="黑体"/>
          <w:color w:val="000000"/>
          <w:sz w:val="36"/>
          <w:szCs w:val="32"/>
        </w:rPr>
        <w:t>第二部分</w:t>
      </w:r>
    </w:p>
    <w:p>
      <w:pPr>
        <w:pStyle w:val="4"/>
        <w:topLinePunct/>
        <w:spacing w:before="0" w:beforeAutospacing="0" w:after="0" w:afterAutospacing="0" w:line="360" w:lineRule="auto"/>
        <w:jc w:val="center"/>
        <w:rPr>
          <w:rFonts w:ascii="Calibri" w:hAnsi="Calibri"/>
          <w:color w:val="000000"/>
          <w:sz w:val="22"/>
          <w:szCs w:val="21"/>
        </w:rPr>
      </w:pPr>
      <w:r>
        <w:rPr>
          <w:rFonts w:hint="eastAsia" w:ascii="黑体" w:hAnsi="黑体" w:eastAsia="黑体"/>
          <w:color w:val="000000"/>
          <w:sz w:val="36"/>
          <w:szCs w:val="32"/>
        </w:rPr>
        <w:t>2018年部门预算情况说明</w:t>
      </w:r>
    </w:p>
    <w:p>
      <w:pPr>
        <w:ind w:firstLine="640" w:firstLineChars="200"/>
        <w:rPr>
          <w:rFonts w:ascii="华文仿宋" w:hAnsi="华文仿宋" w:eastAsia="华文仿宋"/>
          <w:sz w:val="32"/>
          <w:szCs w:val="32"/>
        </w:rPr>
      </w:pPr>
    </w:p>
    <w:p>
      <w:pPr>
        <w:ind w:firstLine="640" w:firstLineChars="200"/>
        <w:rPr>
          <w:rFonts w:ascii="黑体" w:hAnsi="黑体" w:eastAsia="黑体"/>
          <w:sz w:val="32"/>
          <w:szCs w:val="32"/>
        </w:rPr>
      </w:pPr>
      <w:r>
        <w:rPr>
          <w:rFonts w:hint="eastAsia" w:ascii="黑体" w:hAnsi="黑体" w:eastAsia="黑体"/>
          <w:sz w:val="32"/>
          <w:szCs w:val="32"/>
        </w:rPr>
        <w:t>一、本级预算和所属单位预算在内的汇总预算总体情况</w:t>
      </w:r>
    </w:p>
    <w:p>
      <w:pPr>
        <w:ind w:firstLine="640" w:firstLineChars="200"/>
        <w:rPr>
          <w:rFonts w:ascii="仿宋" w:hAnsi="仿宋" w:eastAsia="仿宋"/>
          <w:sz w:val="32"/>
          <w:szCs w:val="32"/>
        </w:rPr>
      </w:pPr>
      <w:r>
        <w:rPr>
          <w:rFonts w:hint="eastAsia" w:ascii="仿宋" w:hAnsi="仿宋" w:eastAsia="仿宋"/>
          <w:sz w:val="32"/>
          <w:szCs w:val="32"/>
        </w:rPr>
        <w:t>本部门无独立核算的下属预算单位，部门本级预算即汇总预算。</w:t>
      </w:r>
      <w:r>
        <w:rPr>
          <w:rFonts w:ascii="仿宋" w:hAnsi="仿宋" w:eastAsia="仿宋"/>
          <w:sz w:val="32"/>
          <w:szCs w:val="32"/>
        </w:rPr>
        <w:t>201</w:t>
      </w:r>
      <w:r>
        <w:rPr>
          <w:rFonts w:hint="eastAsia" w:ascii="仿宋" w:hAnsi="仿宋" w:eastAsia="仿宋"/>
          <w:sz w:val="32"/>
          <w:szCs w:val="32"/>
        </w:rPr>
        <w:t>8年本部门财政预算收入总计1366.82万元，支出总计1366.8万元。</w:t>
      </w:r>
    </w:p>
    <w:p>
      <w:pPr>
        <w:ind w:firstLine="640" w:firstLineChars="200"/>
        <w:rPr>
          <w:rFonts w:ascii="黑体" w:hAnsi="黑体" w:eastAsia="黑体"/>
          <w:sz w:val="32"/>
          <w:szCs w:val="32"/>
        </w:rPr>
      </w:pPr>
      <w:r>
        <w:rPr>
          <w:rFonts w:hint="eastAsia" w:ascii="黑体" w:hAnsi="黑体" w:eastAsia="黑体"/>
          <w:sz w:val="32"/>
          <w:szCs w:val="32"/>
        </w:rPr>
        <w:t>二、部门预算收支增减变动情况</w:t>
      </w:r>
    </w:p>
    <w:p>
      <w:pPr>
        <w:ind w:firstLine="640" w:firstLineChars="200"/>
        <w:rPr>
          <w:rFonts w:ascii="仿宋" w:hAnsi="仿宋" w:eastAsia="仿宋"/>
          <w:sz w:val="32"/>
          <w:szCs w:val="32"/>
        </w:rPr>
      </w:pPr>
      <w:r>
        <w:rPr>
          <w:rFonts w:ascii="仿宋" w:hAnsi="仿宋" w:eastAsia="仿宋"/>
          <w:sz w:val="32"/>
          <w:szCs w:val="32"/>
        </w:rPr>
        <w:t>201</w:t>
      </w:r>
      <w:r>
        <w:rPr>
          <w:rFonts w:hint="eastAsia" w:ascii="仿宋" w:hAnsi="仿宋" w:eastAsia="仿宋"/>
          <w:sz w:val="32"/>
          <w:szCs w:val="32"/>
        </w:rPr>
        <w:t>8年本部门财政预算收入总计1366.82万元，支出总计1366.82万元。其中：基本支出886.82万元，占比64.88%，项目支出480万元，占比35.12%。</w:t>
      </w:r>
    </w:p>
    <w:p>
      <w:pPr>
        <w:ind w:firstLine="640" w:firstLineChars="200"/>
        <w:rPr>
          <w:rFonts w:ascii="仿宋" w:hAnsi="仿宋" w:eastAsia="仿宋"/>
          <w:sz w:val="32"/>
          <w:szCs w:val="32"/>
        </w:rPr>
      </w:pPr>
      <w:r>
        <w:rPr>
          <w:rFonts w:hint="eastAsia" w:ascii="仿宋" w:hAnsi="仿宋" w:eastAsia="仿宋"/>
          <w:sz w:val="32"/>
          <w:szCs w:val="32"/>
        </w:rPr>
        <w:t>2018年本部门财政预算较上年增加131.05万元，增长10</w:t>
      </w:r>
      <w:r>
        <w:rPr>
          <w:rFonts w:ascii="仿宋" w:hAnsi="仿宋" w:eastAsia="仿宋"/>
          <w:sz w:val="32"/>
          <w:szCs w:val="32"/>
        </w:rPr>
        <w:t>%</w:t>
      </w:r>
      <w:r>
        <w:rPr>
          <w:rFonts w:hint="eastAsia" w:ascii="仿宋" w:hAnsi="仿宋" w:eastAsia="仿宋"/>
          <w:sz w:val="32"/>
          <w:szCs w:val="32"/>
        </w:rPr>
        <w:t>。主要原因是由于人员工资标准的提高，业务量增加。</w:t>
      </w:r>
    </w:p>
    <w:p>
      <w:pPr>
        <w:ind w:firstLine="640" w:firstLineChars="200"/>
        <w:rPr>
          <w:rFonts w:ascii="黑体" w:hAnsi="黑体" w:eastAsia="黑体"/>
          <w:sz w:val="32"/>
          <w:szCs w:val="32"/>
        </w:rPr>
      </w:pPr>
      <w:r>
        <w:rPr>
          <w:rFonts w:hint="eastAsia" w:ascii="黑体" w:hAnsi="黑体" w:eastAsia="黑体"/>
          <w:sz w:val="32"/>
          <w:szCs w:val="32"/>
        </w:rPr>
        <w:t>三、机关运行经费安排情况</w:t>
      </w:r>
    </w:p>
    <w:p>
      <w:pPr>
        <w:ind w:firstLine="640" w:firstLineChars="200"/>
        <w:rPr>
          <w:rFonts w:ascii="仿宋" w:hAnsi="仿宋" w:eastAsia="仿宋"/>
          <w:color w:val="C00000"/>
          <w:sz w:val="32"/>
          <w:szCs w:val="32"/>
        </w:rPr>
      </w:pPr>
      <w:r>
        <w:rPr>
          <w:rFonts w:ascii="仿宋" w:hAnsi="仿宋" w:eastAsia="仿宋"/>
          <w:sz w:val="32"/>
          <w:szCs w:val="32"/>
        </w:rPr>
        <w:t>201</w:t>
      </w:r>
      <w:r>
        <w:rPr>
          <w:rFonts w:hint="eastAsia" w:ascii="仿宋" w:hAnsi="仿宋" w:eastAsia="仿宋"/>
          <w:sz w:val="32"/>
          <w:szCs w:val="32"/>
        </w:rPr>
        <w:t>8年本部门机关运行经费安排152.2万元，主要用于办公费、“三公”经费、维修费、会议费等方面，比上年减少6万元，减少4%，主要原因是深入贯彻落实中央八项规定和厉行节约有关精神。</w:t>
      </w:r>
    </w:p>
    <w:p>
      <w:pPr>
        <w:ind w:firstLine="640" w:firstLineChars="200"/>
        <w:rPr>
          <w:rFonts w:ascii="黑体" w:hAnsi="黑体" w:eastAsia="黑体"/>
          <w:sz w:val="32"/>
          <w:szCs w:val="32"/>
        </w:rPr>
      </w:pPr>
      <w:r>
        <w:rPr>
          <w:rFonts w:hint="eastAsia" w:ascii="黑体" w:hAnsi="黑体" w:eastAsia="黑体"/>
          <w:sz w:val="32"/>
          <w:szCs w:val="32"/>
        </w:rPr>
        <w:t>四、“三公”经费安排情况</w:t>
      </w:r>
    </w:p>
    <w:p>
      <w:pPr>
        <w:ind w:firstLine="640" w:firstLineChars="200"/>
        <w:rPr>
          <w:rFonts w:ascii="仿宋" w:hAnsi="仿宋" w:eastAsia="仿宋"/>
          <w:sz w:val="32"/>
          <w:szCs w:val="32"/>
        </w:rPr>
      </w:pPr>
      <w:r>
        <w:rPr>
          <w:rFonts w:ascii="仿宋" w:hAnsi="仿宋" w:eastAsia="仿宋"/>
          <w:sz w:val="32"/>
          <w:szCs w:val="32"/>
        </w:rPr>
        <w:t>201</w:t>
      </w:r>
      <w:r>
        <w:rPr>
          <w:rFonts w:hint="eastAsia" w:ascii="仿宋" w:hAnsi="仿宋" w:eastAsia="仿宋"/>
          <w:sz w:val="32"/>
          <w:szCs w:val="32"/>
        </w:rPr>
        <w:t>8年本部门“三公”经费预算106.8万元，较上年增长40.2万元，主要原因是由于政府亟需的车辆更新维护，另一方面，严格执行相关规定，厉行勤俭节约，压减公务接待费。</w:t>
      </w:r>
    </w:p>
    <w:p>
      <w:pPr>
        <w:ind w:firstLine="640" w:firstLineChars="200"/>
        <w:rPr>
          <w:rFonts w:ascii="仿宋" w:hAnsi="仿宋" w:eastAsia="仿宋"/>
          <w:sz w:val="32"/>
          <w:szCs w:val="32"/>
        </w:rPr>
      </w:pPr>
      <w:r>
        <w:rPr>
          <w:rFonts w:hint="eastAsia" w:ascii="仿宋" w:hAnsi="仿宋" w:eastAsia="仿宋"/>
          <w:sz w:val="32"/>
          <w:szCs w:val="32"/>
        </w:rPr>
        <w:t>1.因公出国（境）费0万元；</w:t>
      </w:r>
    </w:p>
    <w:p>
      <w:pPr>
        <w:ind w:firstLine="640" w:firstLineChars="200"/>
        <w:rPr>
          <w:rFonts w:ascii="仿宋" w:hAnsi="仿宋" w:eastAsia="仿宋"/>
          <w:sz w:val="32"/>
          <w:szCs w:val="32"/>
        </w:rPr>
      </w:pPr>
      <w:r>
        <w:rPr>
          <w:rFonts w:hint="eastAsia" w:ascii="仿宋" w:hAnsi="仿宋" w:eastAsia="仿宋"/>
          <w:sz w:val="32"/>
          <w:szCs w:val="32"/>
        </w:rPr>
        <w:t>2.公务用车运行及维护费105万元，其中：公务用车购置85万元，公务用车运行费</w:t>
      </w:r>
      <w:r>
        <w:rPr>
          <w:rFonts w:hint="eastAsia" w:ascii="仿宋" w:hAnsi="仿宋" w:eastAsia="仿宋"/>
          <w:sz w:val="32"/>
          <w:szCs w:val="32"/>
          <w:lang w:val="en-US" w:eastAsia="zh-CN"/>
        </w:rPr>
        <w:t>20</w:t>
      </w:r>
      <w:bookmarkStart w:id="0" w:name="_GoBack"/>
      <w:bookmarkEnd w:id="0"/>
      <w:r>
        <w:rPr>
          <w:rFonts w:hint="eastAsia" w:ascii="仿宋" w:hAnsi="仿宋" w:eastAsia="仿宋"/>
          <w:sz w:val="32"/>
          <w:szCs w:val="32"/>
        </w:rPr>
        <w:t>万元。</w:t>
      </w:r>
    </w:p>
    <w:p>
      <w:pPr>
        <w:ind w:firstLine="640" w:firstLineChars="200"/>
        <w:rPr>
          <w:rFonts w:ascii="仿宋" w:hAnsi="仿宋" w:eastAsia="仿宋"/>
          <w:sz w:val="32"/>
          <w:szCs w:val="32"/>
        </w:rPr>
      </w:pPr>
      <w:r>
        <w:rPr>
          <w:rFonts w:hint="eastAsia" w:ascii="仿宋" w:hAnsi="仿宋" w:eastAsia="仿宋"/>
          <w:sz w:val="32"/>
          <w:szCs w:val="32"/>
        </w:rPr>
        <w:t>3.公务接待费1.8万元。</w:t>
      </w:r>
    </w:p>
    <w:p>
      <w:pPr>
        <w:ind w:firstLine="640" w:firstLineChars="200"/>
        <w:rPr>
          <w:rFonts w:ascii="仿宋" w:hAnsi="仿宋" w:eastAsia="仿宋"/>
          <w:sz w:val="32"/>
          <w:szCs w:val="32"/>
        </w:rPr>
      </w:pPr>
      <w:r>
        <w:rPr>
          <w:rFonts w:hint="eastAsia" w:ascii="黑体" w:hAnsi="黑体" w:eastAsia="黑体"/>
          <w:sz w:val="32"/>
          <w:szCs w:val="32"/>
        </w:rPr>
        <w:t>五、政府采购安排情况</w:t>
      </w:r>
    </w:p>
    <w:p>
      <w:pPr>
        <w:ind w:firstLine="640" w:firstLineChars="200"/>
        <w:rPr>
          <w:rFonts w:ascii="仿宋" w:hAnsi="仿宋" w:eastAsia="仿宋"/>
          <w:sz w:val="32"/>
          <w:szCs w:val="32"/>
        </w:rPr>
      </w:pPr>
      <w:r>
        <w:rPr>
          <w:rFonts w:ascii="仿宋" w:hAnsi="仿宋" w:eastAsia="仿宋"/>
          <w:sz w:val="32"/>
          <w:szCs w:val="32"/>
        </w:rPr>
        <w:t>201</w:t>
      </w:r>
      <w:r>
        <w:rPr>
          <w:rFonts w:hint="eastAsia" w:ascii="仿宋" w:hAnsi="仿宋" w:eastAsia="仿宋"/>
          <w:sz w:val="32"/>
          <w:szCs w:val="32"/>
        </w:rPr>
        <w:t>8年本部门无政府采购预算安排。</w:t>
      </w:r>
    </w:p>
    <w:p>
      <w:pPr>
        <w:ind w:firstLine="640" w:firstLineChars="200"/>
        <w:rPr>
          <w:rFonts w:ascii="黑体" w:hAnsi="黑体" w:eastAsia="黑体"/>
          <w:sz w:val="32"/>
          <w:szCs w:val="32"/>
        </w:rPr>
      </w:pPr>
      <w:r>
        <w:rPr>
          <w:rFonts w:hint="eastAsia" w:ascii="黑体" w:hAnsi="黑体" w:eastAsia="黑体"/>
          <w:sz w:val="32"/>
          <w:szCs w:val="32"/>
        </w:rPr>
        <w:t>六、政府性基金预算安排情况</w:t>
      </w:r>
    </w:p>
    <w:p>
      <w:pPr>
        <w:ind w:firstLine="640" w:firstLineChars="200"/>
        <w:rPr>
          <w:rFonts w:ascii="仿宋" w:hAnsi="仿宋" w:eastAsia="仿宋"/>
          <w:sz w:val="32"/>
          <w:szCs w:val="32"/>
        </w:rPr>
      </w:pPr>
      <w:r>
        <w:rPr>
          <w:rFonts w:hint="eastAsia" w:ascii="仿宋" w:hAnsi="仿宋" w:eastAsia="仿宋"/>
          <w:sz w:val="32"/>
          <w:szCs w:val="32"/>
        </w:rPr>
        <w:t>本部门无使用政府性基金预算安排的支出。</w:t>
      </w:r>
    </w:p>
    <w:p>
      <w:pPr>
        <w:ind w:firstLine="640" w:firstLineChars="200"/>
        <w:rPr>
          <w:rFonts w:ascii="黑体" w:hAnsi="黑体" w:eastAsia="黑体"/>
          <w:sz w:val="32"/>
          <w:szCs w:val="32"/>
        </w:rPr>
      </w:pPr>
      <w:r>
        <w:rPr>
          <w:rFonts w:hint="eastAsia" w:ascii="黑体" w:hAnsi="黑体" w:eastAsia="黑体"/>
          <w:sz w:val="32"/>
          <w:szCs w:val="32"/>
        </w:rPr>
        <w:t>七、预算绩效管理工作开展情况说明</w:t>
      </w:r>
    </w:p>
    <w:p>
      <w:pPr>
        <w:ind w:firstLine="640" w:firstLineChars="200"/>
        <w:rPr>
          <w:rFonts w:hint="eastAsia" w:ascii="仿宋" w:hAnsi="仿宋" w:eastAsia="仿宋"/>
          <w:sz w:val="32"/>
          <w:szCs w:val="32"/>
        </w:rPr>
      </w:pPr>
      <w:r>
        <w:rPr>
          <w:rFonts w:hint="eastAsia" w:ascii="仿宋" w:hAnsi="仿宋" w:eastAsia="仿宋"/>
          <w:sz w:val="32"/>
          <w:szCs w:val="32"/>
        </w:rPr>
        <w:t>按照《濮阳市华龙区财政局关于编制区级2018年部门预算（草案）和2018-2020年财政规划的通知》（华龙财〔2018〕2号）有关强化预算绩效管理导向方面要求，本部门牢固树立“讲绩效、重绩效、用绩效” 的绩效管理理念，年度预算申报时，对符合范围的项目资金同步报送了预算绩效目标，努力建立健全以结果为导向的预算绩效管理工作机制。</w:t>
      </w:r>
    </w:p>
    <w:p>
      <w:pPr>
        <w:ind w:firstLine="640" w:firstLineChars="200"/>
        <w:rPr>
          <w:rFonts w:hint="eastAsia" w:ascii="黑体" w:hAnsi="黑体" w:eastAsia="黑体"/>
          <w:sz w:val="32"/>
          <w:szCs w:val="32"/>
        </w:rPr>
      </w:pPr>
      <w:r>
        <w:rPr>
          <w:rFonts w:hint="eastAsia" w:ascii="黑体" w:hAnsi="黑体" w:eastAsia="黑体"/>
          <w:sz w:val="32"/>
          <w:szCs w:val="32"/>
        </w:rPr>
        <w:t>八、国有资产占用情况</w:t>
      </w:r>
    </w:p>
    <w:p>
      <w:pPr>
        <w:ind w:firstLine="640" w:firstLineChars="200"/>
        <w:rPr>
          <w:rFonts w:hint="eastAsia" w:ascii="仿宋" w:hAnsi="仿宋" w:eastAsia="仿宋"/>
          <w:sz w:val="32"/>
          <w:szCs w:val="32"/>
        </w:rPr>
      </w:pPr>
      <w:r>
        <w:rPr>
          <w:rFonts w:hint="eastAsia" w:ascii="仿宋" w:hAnsi="仿宋" w:eastAsia="仿宋"/>
          <w:sz w:val="32"/>
          <w:szCs w:val="32"/>
        </w:rPr>
        <w:t>2017年期末，本部门共有车辆12辆，其中：一般公务用车12辆、一般执法执勤用车0辆、特种专业技术用车0辆，其他用车0辆；单位价值50万元以上通用设备0台（套），单位价值100万元以上专用设备0台（套）。</w:t>
      </w:r>
    </w:p>
    <w:p>
      <w:pPr>
        <w:ind w:firstLine="640" w:firstLineChars="200"/>
        <w:rPr>
          <w:rFonts w:ascii="仿宋" w:hAnsi="仿宋" w:eastAsia="仿宋"/>
          <w:sz w:val="32"/>
          <w:szCs w:val="32"/>
        </w:rPr>
      </w:pPr>
    </w:p>
    <w:p>
      <w:pPr>
        <w:ind w:firstLine="640" w:firstLineChars="200"/>
        <w:rPr>
          <w:rFonts w:ascii="黑体" w:hAnsi="黑体" w:eastAsia="黑体"/>
          <w:sz w:val="32"/>
          <w:szCs w:val="32"/>
        </w:rPr>
      </w:pPr>
    </w:p>
    <w:p>
      <w:pPr>
        <w:pStyle w:val="4"/>
        <w:topLinePunct/>
        <w:spacing w:before="0" w:beforeAutospacing="0" w:after="0" w:afterAutospacing="0" w:line="360" w:lineRule="auto"/>
        <w:jc w:val="center"/>
        <w:rPr>
          <w:rFonts w:ascii="Calibri" w:hAnsi="Calibri"/>
          <w:color w:val="000000"/>
          <w:sz w:val="22"/>
          <w:szCs w:val="21"/>
        </w:rPr>
      </w:pPr>
      <w:r>
        <w:rPr>
          <w:rFonts w:hint="eastAsia" w:ascii="黑体" w:hAnsi="黑体" w:eastAsia="黑体"/>
          <w:color w:val="000000"/>
          <w:sz w:val="36"/>
          <w:szCs w:val="32"/>
        </w:rPr>
        <w:t>第三部分</w:t>
      </w:r>
    </w:p>
    <w:p>
      <w:pPr>
        <w:pStyle w:val="4"/>
        <w:topLinePunct/>
        <w:spacing w:before="0" w:beforeAutospacing="0" w:after="0" w:afterAutospacing="0" w:line="360" w:lineRule="auto"/>
        <w:jc w:val="center"/>
        <w:rPr>
          <w:rFonts w:ascii="Calibri" w:hAnsi="Calibri"/>
          <w:color w:val="000000"/>
          <w:sz w:val="22"/>
          <w:szCs w:val="21"/>
        </w:rPr>
      </w:pPr>
      <w:r>
        <w:rPr>
          <w:rFonts w:hint="eastAsia" w:ascii="黑体" w:hAnsi="黑体" w:eastAsia="黑体"/>
          <w:color w:val="000000"/>
          <w:sz w:val="36"/>
          <w:szCs w:val="32"/>
        </w:rPr>
        <w:t>名词解释</w:t>
      </w:r>
    </w:p>
    <w:p>
      <w:pPr>
        <w:ind w:firstLine="640" w:firstLineChars="200"/>
        <w:rPr>
          <w:rFonts w:ascii="仿宋" w:hAnsi="仿宋" w:eastAsia="仿宋"/>
          <w:sz w:val="32"/>
          <w:szCs w:val="32"/>
        </w:rPr>
      </w:pPr>
    </w:p>
    <w:p>
      <w:pPr>
        <w:ind w:firstLine="640"/>
        <w:rPr>
          <w:rFonts w:ascii="黑体" w:hAnsi="黑体" w:eastAsia="黑体"/>
          <w:sz w:val="32"/>
          <w:szCs w:val="32"/>
        </w:rPr>
      </w:pPr>
      <w:r>
        <w:rPr>
          <w:rFonts w:hint="eastAsia" w:ascii="黑体" w:hAnsi="黑体" w:eastAsia="黑体"/>
          <w:sz w:val="32"/>
          <w:szCs w:val="32"/>
        </w:rPr>
        <w:t>一、财政拨款收入</w:t>
      </w:r>
    </w:p>
    <w:p>
      <w:pPr>
        <w:ind w:firstLine="640"/>
        <w:rPr>
          <w:rFonts w:ascii="仿宋" w:hAnsi="仿宋" w:eastAsia="仿宋"/>
          <w:sz w:val="32"/>
          <w:szCs w:val="32"/>
        </w:rPr>
      </w:pPr>
      <w:r>
        <w:rPr>
          <w:rFonts w:hint="eastAsia" w:ascii="仿宋" w:hAnsi="仿宋" w:eastAsia="仿宋"/>
          <w:sz w:val="32"/>
          <w:szCs w:val="32"/>
        </w:rPr>
        <w:t>指本级财政当年拨付的资金。</w:t>
      </w:r>
    </w:p>
    <w:p>
      <w:pPr>
        <w:ind w:firstLine="640"/>
        <w:rPr>
          <w:rFonts w:ascii="黑体" w:hAnsi="黑体" w:eastAsia="黑体"/>
          <w:sz w:val="32"/>
          <w:szCs w:val="32"/>
        </w:rPr>
      </w:pPr>
      <w:r>
        <w:rPr>
          <w:rFonts w:hint="eastAsia" w:ascii="黑体" w:hAnsi="黑体" w:eastAsia="黑体"/>
          <w:sz w:val="32"/>
          <w:szCs w:val="32"/>
        </w:rPr>
        <w:t>二、事业收入</w:t>
      </w:r>
    </w:p>
    <w:p>
      <w:pPr>
        <w:ind w:firstLine="640" w:firstLineChars="200"/>
        <w:rPr>
          <w:rFonts w:ascii="仿宋" w:hAnsi="仿宋" w:eastAsia="仿宋"/>
          <w:sz w:val="32"/>
          <w:szCs w:val="32"/>
        </w:rPr>
      </w:pPr>
      <w:r>
        <w:rPr>
          <w:rFonts w:hint="eastAsia" w:ascii="仿宋" w:hAnsi="仿宋" w:eastAsia="仿宋"/>
          <w:sz w:val="32"/>
          <w:szCs w:val="32"/>
        </w:rPr>
        <w:t>指事业单位开展专务活动及辅助所取得的收入。</w:t>
      </w:r>
    </w:p>
    <w:p>
      <w:pPr>
        <w:ind w:firstLine="640"/>
        <w:rPr>
          <w:rFonts w:ascii="黑体" w:hAnsi="黑体" w:eastAsia="黑体"/>
          <w:sz w:val="32"/>
          <w:szCs w:val="32"/>
        </w:rPr>
      </w:pPr>
      <w:r>
        <w:rPr>
          <w:rFonts w:hint="eastAsia" w:ascii="黑体" w:hAnsi="黑体" w:eastAsia="黑体"/>
          <w:sz w:val="32"/>
          <w:szCs w:val="32"/>
        </w:rPr>
        <w:t>三、其他收入</w:t>
      </w:r>
    </w:p>
    <w:p>
      <w:pPr>
        <w:ind w:firstLine="640" w:firstLineChars="200"/>
        <w:rPr>
          <w:rFonts w:ascii="仿宋" w:hAnsi="仿宋" w:eastAsia="仿宋"/>
          <w:sz w:val="32"/>
          <w:szCs w:val="32"/>
        </w:rPr>
      </w:pPr>
      <w:r>
        <w:rPr>
          <w:rFonts w:hint="eastAsia" w:ascii="仿宋" w:hAnsi="仿宋" w:eastAsia="仿宋"/>
          <w:sz w:val="32"/>
          <w:szCs w:val="32"/>
        </w:rPr>
        <w:t>指除上述“财政拨款”、“事业收入”、“事业单位经营收入”、“附属单位上缴收入”等以外的收入。</w:t>
      </w:r>
    </w:p>
    <w:p>
      <w:pPr>
        <w:ind w:firstLine="640"/>
        <w:rPr>
          <w:rFonts w:ascii="黑体" w:hAnsi="黑体" w:eastAsia="黑体"/>
          <w:sz w:val="32"/>
          <w:szCs w:val="32"/>
        </w:rPr>
      </w:pPr>
      <w:r>
        <w:rPr>
          <w:rFonts w:hint="eastAsia" w:ascii="黑体" w:hAnsi="黑体" w:eastAsia="黑体"/>
          <w:sz w:val="32"/>
          <w:szCs w:val="32"/>
        </w:rPr>
        <w:t>四、基本支出</w:t>
      </w:r>
    </w:p>
    <w:p>
      <w:pPr>
        <w:ind w:firstLine="640" w:firstLineChars="200"/>
        <w:rPr>
          <w:rFonts w:ascii="仿宋" w:hAnsi="仿宋" w:eastAsia="仿宋"/>
          <w:sz w:val="32"/>
          <w:szCs w:val="32"/>
        </w:rPr>
      </w:pPr>
      <w:r>
        <w:rPr>
          <w:rFonts w:hint="eastAsia" w:ascii="仿宋" w:hAnsi="仿宋" w:eastAsia="仿宋"/>
          <w:sz w:val="32"/>
          <w:szCs w:val="32"/>
        </w:rPr>
        <w:t>指为保障机构正常运转、完成日常工作任务所必需的开支，其内容包括人员经费和日常公用经费两部分。</w:t>
      </w:r>
    </w:p>
    <w:p>
      <w:pPr>
        <w:ind w:firstLine="640"/>
        <w:rPr>
          <w:rFonts w:ascii="黑体" w:hAnsi="黑体" w:eastAsia="黑体"/>
          <w:sz w:val="32"/>
          <w:szCs w:val="32"/>
        </w:rPr>
      </w:pPr>
      <w:r>
        <w:rPr>
          <w:rFonts w:hint="eastAsia" w:ascii="黑体" w:hAnsi="黑体" w:eastAsia="黑体"/>
          <w:sz w:val="32"/>
          <w:szCs w:val="32"/>
        </w:rPr>
        <w:t>五、项目支出</w:t>
      </w:r>
    </w:p>
    <w:p>
      <w:pPr>
        <w:ind w:firstLine="640" w:firstLineChars="200"/>
        <w:rPr>
          <w:rFonts w:ascii="仿宋" w:hAnsi="仿宋" w:eastAsia="仿宋"/>
          <w:sz w:val="32"/>
          <w:szCs w:val="32"/>
        </w:rPr>
      </w:pPr>
      <w:r>
        <w:rPr>
          <w:rFonts w:hint="eastAsia" w:ascii="仿宋" w:hAnsi="仿宋" w:eastAsia="仿宋"/>
          <w:sz w:val="32"/>
          <w:szCs w:val="32"/>
        </w:rPr>
        <w:t>指在基本支出之外，为完成特定的行政工作任务或事业发展目标所发生的支出。</w:t>
      </w:r>
    </w:p>
    <w:p>
      <w:pPr>
        <w:ind w:firstLine="640"/>
        <w:rPr>
          <w:rFonts w:ascii="黑体" w:hAnsi="黑体" w:eastAsia="黑体"/>
          <w:sz w:val="32"/>
          <w:szCs w:val="32"/>
        </w:rPr>
      </w:pPr>
      <w:r>
        <w:rPr>
          <w:rFonts w:hint="eastAsia" w:ascii="黑体" w:hAnsi="黑体" w:eastAsia="黑体"/>
          <w:sz w:val="32"/>
          <w:szCs w:val="32"/>
        </w:rPr>
        <w:t>六、机关运行经费</w:t>
      </w:r>
    </w:p>
    <w:p>
      <w:pPr>
        <w:ind w:firstLine="640" w:firstLineChars="200"/>
        <w:rPr>
          <w:rFonts w:ascii="仿宋" w:hAnsi="仿宋" w:eastAsia="仿宋"/>
          <w:sz w:val="32"/>
          <w:szCs w:val="32"/>
        </w:rPr>
      </w:pPr>
      <w:r>
        <w:rPr>
          <w:rFonts w:hint="eastAsia" w:ascii="仿宋" w:hAnsi="仿宋" w:eastAsia="仿宋"/>
          <w:sz w:val="32"/>
          <w:szCs w:val="32"/>
        </w:rPr>
        <w:t>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ind w:firstLine="640"/>
        <w:rPr>
          <w:rFonts w:ascii="黑体" w:hAnsi="黑体" w:eastAsia="黑体"/>
          <w:sz w:val="32"/>
          <w:szCs w:val="32"/>
        </w:rPr>
      </w:pPr>
      <w:r>
        <w:rPr>
          <w:rFonts w:hint="eastAsia" w:ascii="黑体" w:hAnsi="黑体" w:eastAsia="黑体"/>
          <w:sz w:val="32"/>
          <w:szCs w:val="32"/>
        </w:rPr>
        <w:t>七、“三公”经费</w:t>
      </w:r>
    </w:p>
    <w:p>
      <w:pPr>
        <w:ind w:firstLine="640" w:firstLineChars="200"/>
        <w:rPr>
          <w:rFonts w:ascii="仿宋" w:hAnsi="仿宋" w:eastAsia="仿宋"/>
          <w:sz w:val="32"/>
          <w:szCs w:val="32"/>
        </w:rPr>
      </w:pPr>
      <w:r>
        <w:rPr>
          <w:rFonts w:hint="eastAsia" w:ascii="仿宋" w:hAnsi="仿宋" w:eastAsia="仿宋"/>
          <w:sz w:val="32"/>
          <w:szCs w:val="32"/>
        </w:rPr>
        <w:t>指纳入本级财政预决算管理，本级部门使用财政拨款安排的因公出国（境）费、公务用车购置运行费和公务接待费。其中，因公出国（境）费指单位公务出国（境）的住宿费、旅费、伙食补助费、杂费、培训费等支出；公务用车购置运行费指单位公务用车购置费及租用费、燃料费、维修费、过路过桥费、保险费、安全奖励费用等支出；公务接待费指单位按规定开支的各类接待支出。</w:t>
      </w:r>
    </w:p>
    <w:p>
      <w:pPr>
        <w:ind w:firstLine="640" w:firstLineChars="200"/>
        <w:rPr>
          <w:rFonts w:ascii="仿宋" w:hAnsi="仿宋" w:eastAsia="仿宋"/>
          <w:sz w:val="32"/>
          <w:szCs w:val="32"/>
        </w:rPr>
      </w:pPr>
    </w:p>
    <w:p>
      <w:pPr>
        <w:ind w:firstLine="640" w:firstLineChars="200"/>
        <w:rPr>
          <w:rFonts w:ascii="仿宋" w:hAnsi="仿宋" w:eastAsia="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21D"/>
    <w:rsid w:val="00002196"/>
    <w:rsid w:val="000132E8"/>
    <w:rsid w:val="00016BED"/>
    <w:rsid w:val="0002164D"/>
    <w:rsid w:val="000430FF"/>
    <w:rsid w:val="00061554"/>
    <w:rsid w:val="00072768"/>
    <w:rsid w:val="00073460"/>
    <w:rsid w:val="00073A1C"/>
    <w:rsid w:val="00083F78"/>
    <w:rsid w:val="00084BC7"/>
    <w:rsid w:val="000A120E"/>
    <w:rsid w:val="000A2622"/>
    <w:rsid w:val="000B0330"/>
    <w:rsid w:val="000D10F2"/>
    <w:rsid w:val="000E11AD"/>
    <w:rsid w:val="000E2600"/>
    <w:rsid w:val="000F620F"/>
    <w:rsid w:val="0011394B"/>
    <w:rsid w:val="00117E91"/>
    <w:rsid w:val="0012037F"/>
    <w:rsid w:val="00133B0C"/>
    <w:rsid w:val="00160364"/>
    <w:rsid w:val="0017321F"/>
    <w:rsid w:val="0017490C"/>
    <w:rsid w:val="00177B2F"/>
    <w:rsid w:val="00196D1B"/>
    <w:rsid w:val="001A363D"/>
    <w:rsid w:val="001A450C"/>
    <w:rsid w:val="001B0630"/>
    <w:rsid w:val="001B43C4"/>
    <w:rsid w:val="001D3173"/>
    <w:rsid w:val="001D7B94"/>
    <w:rsid w:val="001E082A"/>
    <w:rsid w:val="001E2002"/>
    <w:rsid w:val="001F5C3A"/>
    <w:rsid w:val="001F69E6"/>
    <w:rsid w:val="001F6EA6"/>
    <w:rsid w:val="00204798"/>
    <w:rsid w:val="00213FB6"/>
    <w:rsid w:val="00214722"/>
    <w:rsid w:val="00220CDC"/>
    <w:rsid w:val="00224A75"/>
    <w:rsid w:val="002310DD"/>
    <w:rsid w:val="0024686B"/>
    <w:rsid w:val="00253EBE"/>
    <w:rsid w:val="00266CFB"/>
    <w:rsid w:val="00272F81"/>
    <w:rsid w:val="00280017"/>
    <w:rsid w:val="00280EAD"/>
    <w:rsid w:val="0029175A"/>
    <w:rsid w:val="0029197A"/>
    <w:rsid w:val="002B0CFE"/>
    <w:rsid w:val="002B3532"/>
    <w:rsid w:val="002D0E65"/>
    <w:rsid w:val="00300F5D"/>
    <w:rsid w:val="0031611D"/>
    <w:rsid w:val="00326DBC"/>
    <w:rsid w:val="003318E0"/>
    <w:rsid w:val="00340E1E"/>
    <w:rsid w:val="00343002"/>
    <w:rsid w:val="003452C1"/>
    <w:rsid w:val="00347A9C"/>
    <w:rsid w:val="00347F00"/>
    <w:rsid w:val="003527CA"/>
    <w:rsid w:val="00366ABD"/>
    <w:rsid w:val="00367B86"/>
    <w:rsid w:val="00376143"/>
    <w:rsid w:val="00377591"/>
    <w:rsid w:val="00384FE9"/>
    <w:rsid w:val="00391DCA"/>
    <w:rsid w:val="00395FCD"/>
    <w:rsid w:val="003A1AD8"/>
    <w:rsid w:val="003A4D1C"/>
    <w:rsid w:val="003B03D3"/>
    <w:rsid w:val="003B1B6D"/>
    <w:rsid w:val="003D32F0"/>
    <w:rsid w:val="003D3A49"/>
    <w:rsid w:val="003E6713"/>
    <w:rsid w:val="003F0725"/>
    <w:rsid w:val="00402E18"/>
    <w:rsid w:val="004114C1"/>
    <w:rsid w:val="00412DD4"/>
    <w:rsid w:val="00416C13"/>
    <w:rsid w:val="0042448C"/>
    <w:rsid w:val="00424BFE"/>
    <w:rsid w:val="00435B90"/>
    <w:rsid w:val="00440925"/>
    <w:rsid w:val="004444A9"/>
    <w:rsid w:val="00456A2A"/>
    <w:rsid w:val="004649B6"/>
    <w:rsid w:val="0047221A"/>
    <w:rsid w:val="00475C58"/>
    <w:rsid w:val="00476651"/>
    <w:rsid w:val="00480E6B"/>
    <w:rsid w:val="00481880"/>
    <w:rsid w:val="00481BF7"/>
    <w:rsid w:val="00484FF3"/>
    <w:rsid w:val="004917F6"/>
    <w:rsid w:val="00497FA5"/>
    <w:rsid w:val="004A5FC7"/>
    <w:rsid w:val="004B62CD"/>
    <w:rsid w:val="004D11E2"/>
    <w:rsid w:val="004D20D7"/>
    <w:rsid w:val="004D73C3"/>
    <w:rsid w:val="004E2EF8"/>
    <w:rsid w:val="004F3F49"/>
    <w:rsid w:val="0051575E"/>
    <w:rsid w:val="0052101E"/>
    <w:rsid w:val="005223E8"/>
    <w:rsid w:val="0052707F"/>
    <w:rsid w:val="005363A9"/>
    <w:rsid w:val="00551DD9"/>
    <w:rsid w:val="00553A23"/>
    <w:rsid w:val="005615F1"/>
    <w:rsid w:val="00562A65"/>
    <w:rsid w:val="0056720C"/>
    <w:rsid w:val="00571FE5"/>
    <w:rsid w:val="00591085"/>
    <w:rsid w:val="005938E5"/>
    <w:rsid w:val="00597C5D"/>
    <w:rsid w:val="005A4BCA"/>
    <w:rsid w:val="005B24C5"/>
    <w:rsid w:val="005B3B9A"/>
    <w:rsid w:val="005C12F4"/>
    <w:rsid w:val="005C1BA0"/>
    <w:rsid w:val="005D10EC"/>
    <w:rsid w:val="005D623D"/>
    <w:rsid w:val="005E0440"/>
    <w:rsid w:val="005E1A4B"/>
    <w:rsid w:val="005E1ABC"/>
    <w:rsid w:val="005E5AAE"/>
    <w:rsid w:val="005F0D3B"/>
    <w:rsid w:val="005F5D72"/>
    <w:rsid w:val="006147C0"/>
    <w:rsid w:val="00617AE7"/>
    <w:rsid w:val="006204DF"/>
    <w:rsid w:val="00635649"/>
    <w:rsid w:val="006421B2"/>
    <w:rsid w:val="00642F39"/>
    <w:rsid w:val="00644DCC"/>
    <w:rsid w:val="00646990"/>
    <w:rsid w:val="0066430F"/>
    <w:rsid w:val="0066771A"/>
    <w:rsid w:val="00684EBF"/>
    <w:rsid w:val="00697DBA"/>
    <w:rsid w:val="006B473E"/>
    <w:rsid w:val="006B4837"/>
    <w:rsid w:val="006C00B0"/>
    <w:rsid w:val="006C452E"/>
    <w:rsid w:val="006C72AC"/>
    <w:rsid w:val="006D05A5"/>
    <w:rsid w:val="006D2CC2"/>
    <w:rsid w:val="006D3C5C"/>
    <w:rsid w:val="006E6294"/>
    <w:rsid w:val="006E72AD"/>
    <w:rsid w:val="006F5083"/>
    <w:rsid w:val="00702196"/>
    <w:rsid w:val="007027B6"/>
    <w:rsid w:val="00707582"/>
    <w:rsid w:val="00710DE8"/>
    <w:rsid w:val="0071465B"/>
    <w:rsid w:val="007257DD"/>
    <w:rsid w:val="00732161"/>
    <w:rsid w:val="0073403E"/>
    <w:rsid w:val="00734E78"/>
    <w:rsid w:val="00747E1F"/>
    <w:rsid w:val="00765E2A"/>
    <w:rsid w:val="00782BE8"/>
    <w:rsid w:val="00782CE4"/>
    <w:rsid w:val="007A1AC1"/>
    <w:rsid w:val="007A2989"/>
    <w:rsid w:val="007A5110"/>
    <w:rsid w:val="007A7440"/>
    <w:rsid w:val="007C2779"/>
    <w:rsid w:val="007D24C5"/>
    <w:rsid w:val="007D4319"/>
    <w:rsid w:val="007D611A"/>
    <w:rsid w:val="007E0112"/>
    <w:rsid w:val="007E704C"/>
    <w:rsid w:val="007E7C54"/>
    <w:rsid w:val="007F3130"/>
    <w:rsid w:val="0080427E"/>
    <w:rsid w:val="00804F1B"/>
    <w:rsid w:val="00812D56"/>
    <w:rsid w:val="0081363F"/>
    <w:rsid w:val="00824FDA"/>
    <w:rsid w:val="00832D8F"/>
    <w:rsid w:val="0083533D"/>
    <w:rsid w:val="00840736"/>
    <w:rsid w:val="00843134"/>
    <w:rsid w:val="008431DE"/>
    <w:rsid w:val="00845FFF"/>
    <w:rsid w:val="00851C33"/>
    <w:rsid w:val="00852187"/>
    <w:rsid w:val="00852DF5"/>
    <w:rsid w:val="0085559B"/>
    <w:rsid w:val="008616AC"/>
    <w:rsid w:val="00862471"/>
    <w:rsid w:val="0086512B"/>
    <w:rsid w:val="00873DD2"/>
    <w:rsid w:val="00874090"/>
    <w:rsid w:val="00875A77"/>
    <w:rsid w:val="00885752"/>
    <w:rsid w:val="00894B44"/>
    <w:rsid w:val="008A4B90"/>
    <w:rsid w:val="008C6505"/>
    <w:rsid w:val="008C7E32"/>
    <w:rsid w:val="008D00C9"/>
    <w:rsid w:val="008D7A88"/>
    <w:rsid w:val="008F55A5"/>
    <w:rsid w:val="00914F43"/>
    <w:rsid w:val="009222A2"/>
    <w:rsid w:val="0092547C"/>
    <w:rsid w:val="0093502A"/>
    <w:rsid w:val="009426BE"/>
    <w:rsid w:val="00944D35"/>
    <w:rsid w:val="00950804"/>
    <w:rsid w:val="00954459"/>
    <w:rsid w:val="00960055"/>
    <w:rsid w:val="00971B68"/>
    <w:rsid w:val="00972F44"/>
    <w:rsid w:val="009731A3"/>
    <w:rsid w:val="009814D8"/>
    <w:rsid w:val="009830CB"/>
    <w:rsid w:val="00983C15"/>
    <w:rsid w:val="00984AAA"/>
    <w:rsid w:val="00994FAB"/>
    <w:rsid w:val="00996862"/>
    <w:rsid w:val="009A2613"/>
    <w:rsid w:val="009C5DB1"/>
    <w:rsid w:val="009D0889"/>
    <w:rsid w:val="009E318B"/>
    <w:rsid w:val="009E5D9B"/>
    <w:rsid w:val="00A01F6A"/>
    <w:rsid w:val="00A10E00"/>
    <w:rsid w:val="00A221C0"/>
    <w:rsid w:val="00A35377"/>
    <w:rsid w:val="00A37678"/>
    <w:rsid w:val="00A40FF9"/>
    <w:rsid w:val="00A50106"/>
    <w:rsid w:val="00A53246"/>
    <w:rsid w:val="00A6066C"/>
    <w:rsid w:val="00A718EC"/>
    <w:rsid w:val="00A71EFF"/>
    <w:rsid w:val="00A73C86"/>
    <w:rsid w:val="00A76FD9"/>
    <w:rsid w:val="00A910BD"/>
    <w:rsid w:val="00AA5FE0"/>
    <w:rsid w:val="00AB0E48"/>
    <w:rsid w:val="00AB37CE"/>
    <w:rsid w:val="00AB5D2A"/>
    <w:rsid w:val="00AB6E5A"/>
    <w:rsid w:val="00AC27D5"/>
    <w:rsid w:val="00AF0FB9"/>
    <w:rsid w:val="00B022C0"/>
    <w:rsid w:val="00B05446"/>
    <w:rsid w:val="00B25A37"/>
    <w:rsid w:val="00B26A43"/>
    <w:rsid w:val="00B34B10"/>
    <w:rsid w:val="00B35225"/>
    <w:rsid w:val="00B46A15"/>
    <w:rsid w:val="00B46F19"/>
    <w:rsid w:val="00B60A81"/>
    <w:rsid w:val="00B672B5"/>
    <w:rsid w:val="00B70367"/>
    <w:rsid w:val="00B705C6"/>
    <w:rsid w:val="00B863DA"/>
    <w:rsid w:val="00B90E5B"/>
    <w:rsid w:val="00B927E7"/>
    <w:rsid w:val="00BA1B1A"/>
    <w:rsid w:val="00BA36C6"/>
    <w:rsid w:val="00BA5198"/>
    <w:rsid w:val="00BC207F"/>
    <w:rsid w:val="00BD3139"/>
    <w:rsid w:val="00BE1219"/>
    <w:rsid w:val="00BE5DE9"/>
    <w:rsid w:val="00BF5C9F"/>
    <w:rsid w:val="00BF6EBD"/>
    <w:rsid w:val="00C029AF"/>
    <w:rsid w:val="00C0463F"/>
    <w:rsid w:val="00C051A2"/>
    <w:rsid w:val="00C163B1"/>
    <w:rsid w:val="00C22F11"/>
    <w:rsid w:val="00C27784"/>
    <w:rsid w:val="00C36572"/>
    <w:rsid w:val="00C36BDB"/>
    <w:rsid w:val="00C406BC"/>
    <w:rsid w:val="00C416BE"/>
    <w:rsid w:val="00C43369"/>
    <w:rsid w:val="00C562B8"/>
    <w:rsid w:val="00C60328"/>
    <w:rsid w:val="00C76695"/>
    <w:rsid w:val="00C81C8A"/>
    <w:rsid w:val="00C82D88"/>
    <w:rsid w:val="00C929BF"/>
    <w:rsid w:val="00C95075"/>
    <w:rsid w:val="00CA5A8E"/>
    <w:rsid w:val="00CA790B"/>
    <w:rsid w:val="00CB3F5A"/>
    <w:rsid w:val="00CB522C"/>
    <w:rsid w:val="00CC26EC"/>
    <w:rsid w:val="00CD1BAC"/>
    <w:rsid w:val="00CF3A78"/>
    <w:rsid w:val="00CF56A3"/>
    <w:rsid w:val="00D027AD"/>
    <w:rsid w:val="00D10BAC"/>
    <w:rsid w:val="00D1654C"/>
    <w:rsid w:val="00D212CC"/>
    <w:rsid w:val="00D31C86"/>
    <w:rsid w:val="00D31E35"/>
    <w:rsid w:val="00D33090"/>
    <w:rsid w:val="00D3663D"/>
    <w:rsid w:val="00D4620C"/>
    <w:rsid w:val="00D526B5"/>
    <w:rsid w:val="00D627E3"/>
    <w:rsid w:val="00D63C17"/>
    <w:rsid w:val="00D64296"/>
    <w:rsid w:val="00D75376"/>
    <w:rsid w:val="00D76A95"/>
    <w:rsid w:val="00D92232"/>
    <w:rsid w:val="00DA34FD"/>
    <w:rsid w:val="00DC5066"/>
    <w:rsid w:val="00DE0A3A"/>
    <w:rsid w:val="00DF1D80"/>
    <w:rsid w:val="00DF6259"/>
    <w:rsid w:val="00DF656C"/>
    <w:rsid w:val="00DF7A40"/>
    <w:rsid w:val="00E07DF5"/>
    <w:rsid w:val="00E25D79"/>
    <w:rsid w:val="00E26C3C"/>
    <w:rsid w:val="00E34EC7"/>
    <w:rsid w:val="00E40BD7"/>
    <w:rsid w:val="00E41829"/>
    <w:rsid w:val="00E54A09"/>
    <w:rsid w:val="00E628C1"/>
    <w:rsid w:val="00E772E4"/>
    <w:rsid w:val="00E8327B"/>
    <w:rsid w:val="00E83F8F"/>
    <w:rsid w:val="00E9136C"/>
    <w:rsid w:val="00E92BEC"/>
    <w:rsid w:val="00E933D0"/>
    <w:rsid w:val="00E93DA8"/>
    <w:rsid w:val="00E96C0E"/>
    <w:rsid w:val="00EB2414"/>
    <w:rsid w:val="00EB4212"/>
    <w:rsid w:val="00EC11F0"/>
    <w:rsid w:val="00EC3452"/>
    <w:rsid w:val="00ED6165"/>
    <w:rsid w:val="00EE2DC1"/>
    <w:rsid w:val="00EE41CF"/>
    <w:rsid w:val="00EE4D4B"/>
    <w:rsid w:val="00F027A0"/>
    <w:rsid w:val="00F11492"/>
    <w:rsid w:val="00F17169"/>
    <w:rsid w:val="00F204DA"/>
    <w:rsid w:val="00F206CC"/>
    <w:rsid w:val="00F233A7"/>
    <w:rsid w:val="00F24FA1"/>
    <w:rsid w:val="00F33195"/>
    <w:rsid w:val="00F4521D"/>
    <w:rsid w:val="00F87E41"/>
    <w:rsid w:val="00F93ACE"/>
    <w:rsid w:val="00F9584D"/>
    <w:rsid w:val="00F974C1"/>
    <w:rsid w:val="00F97FD4"/>
    <w:rsid w:val="00FB6183"/>
    <w:rsid w:val="00FC6401"/>
    <w:rsid w:val="00FD7E30"/>
    <w:rsid w:val="00FE715C"/>
    <w:rsid w:val="00FF2323"/>
    <w:rsid w:val="00FF3854"/>
    <w:rsid w:val="04455EBB"/>
    <w:rsid w:val="16AC0A27"/>
    <w:rsid w:val="233D3A66"/>
    <w:rsid w:val="3E196E2F"/>
    <w:rsid w:val="5DAF614C"/>
    <w:rsid w:val="7230615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iPriority w:val="99"/>
    <w:pPr>
      <w:tabs>
        <w:tab w:val="center" w:pos="4153"/>
        <w:tab w:val="right" w:pos="8306"/>
      </w:tabs>
      <w:snapToGrid w:val="0"/>
      <w:jc w:val="left"/>
    </w:pPr>
    <w:rPr>
      <w:kern w:val="0"/>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kern w:val="0"/>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character" w:customStyle="1" w:styleId="7">
    <w:name w:val="页眉 字符"/>
    <w:link w:val="3"/>
    <w:qFormat/>
    <w:locked/>
    <w:uiPriority w:val="99"/>
    <w:rPr>
      <w:rFonts w:cs="Times New Roman"/>
      <w:sz w:val="18"/>
    </w:rPr>
  </w:style>
  <w:style w:type="character" w:customStyle="1" w:styleId="8">
    <w:name w:val="页脚 字符"/>
    <w:link w:val="2"/>
    <w:qFormat/>
    <w:locked/>
    <w:uiPriority w:val="99"/>
    <w:rPr>
      <w:rFonts w:cs="Times New Roman"/>
      <w:sz w:val="18"/>
    </w:rPr>
  </w:style>
  <w:style w:type="paragraph" w:customStyle="1" w:styleId="9">
    <w:name w:val="Default"/>
    <w:qFormat/>
    <w:uiPriority w:val="99"/>
    <w:pPr>
      <w:widowControl w:val="0"/>
      <w:autoSpaceDE w:val="0"/>
      <w:autoSpaceDN w:val="0"/>
      <w:adjustRightInd w:val="0"/>
    </w:pPr>
    <w:rPr>
      <w:rFonts w:ascii="黑体" w:hAnsi="黑体" w:eastAsia="宋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386</Words>
  <Characters>2201</Characters>
  <Lines>18</Lines>
  <Paragraphs>5</Paragraphs>
  <TotalTime>0</TotalTime>
  <ScaleCrop>false</ScaleCrop>
  <LinksUpToDate>false</LinksUpToDate>
  <CharactersWithSpaces>2582</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2017-10-31T03:18:00Z</dcterms:created>
  <dc:creator>lenovo</dc:creator>
  <cp:lastModifiedBy>Administrator</cp:lastModifiedBy>
  <dcterms:modified xsi:type="dcterms:W3CDTF">2019-01-31T01:53:20Z</dcterms:modified>
  <dc:title>濮阳市华龙区XXX局</dc:title>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