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38A" w:rsidRDefault="00CA338A">
      <w:pPr>
        <w:rPr>
          <w:rFonts w:ascii="方正小标宋_GBK" w:eastAsia="方正小标宋_GBK"/>
          <w:sz w:val="40"/>
        </w:rPr>
      </w:pPr>
    </w:p>
    <w:p w:rsidR="00CA338A" w:rsidRDefault="00CA338A">
      <w:pPr>
        <w:rPr>
          <w:rFonts w:ascii="方正小标宋_GBK" w:eastAsia="方正小标宋_GBK"/>
          <w:sz w:val="40"/>
        </w:rPr>
      </w:pPr>
    </w:p>
    <w:p w:rsidR="00CA338A" w:rsidRPr="00145ECB" w:rsidRDefault="00145ECB">
      <w:pPr>
        <w:jc w:val="center"/>
        <w:rPr>
          <w:rFonts w:ascii="方正小标宋_GBK" w:eastAsia="方正小标宋_GBK"/>
          <w:w w:val="85"/>
          <w:sz w:val="56"/>
        </w:rPr>
      </w:pPr>
      <w:r>
        <w:rPr>
          <w:rFonts w:ascii="方正小标宋_GBK" w:eastAsia="方正小标宋_GBK" w:hint="eastAsia"/>
          <w:w w:val="85"/>
          <w:sz w:val="56"/>
        </w:rPr>
        <w:t>濮阳市华</w:t>
      </w:r>
      <w:r w:rsidRPr="00145ECB">
        <w:rPr>
          <w:rFonts w:ascii="方正小标宋_GBK" w:eastAsia="方正小标宋_GBK" w:hint="eastAsia"/>
          <w:w w:val="85"/>
          <w:sz w:val="56"/>
        </w:rPr>
        <w:t>龙区科学技术协会</w:t>
      </w:r>
    </w:p>
    <w:p w:rsidR="00CA338A" w:rsidRDefault="00145ECB">
      <w:pPr>
        <w:jc w:val="center"/>
        <w:rPr>
          <w:rFonts w:ascii="方正小标宋_GBK" w:eastAsia="方正小标宋_GBK"/>
          <w:spacing w:val="-20"/>
          <w:sz w:val="44"/>
        </w:rPr>
      </w:pPr>
      <w:r>
        <w:rPr>
          <w:rFonts w:ascii="方正小标宋_GBK" w:eastAsia="方正小标宋_GBK" w:hint="eastAsia"/>
          <w:w w:val="85"/>
          <w:sz w:val="56"/>
        </w:rPr>
        <w:t>2019年部门预算公开说明</w:t>
      </w:r>
    </w:p>
    <w:p w:rsidR="00CA338A" w:rsidRDefault="00CA338A">
      <w:pPr>
        <w:jc w:val="center"/>
        <w:rPr>
          <w:rFonts w:ascii="方正小标宋_GBK" w:eastAsia="方正小标宋_GBK"/>
          <w:sz w:val="40"/>
        </w:rPr>
      </w:pPr>
    </w:p>
    <w:p w:rsidR="00CA338A" w:rsidRDefault="00CA338A">
      <w:pPr>
        <w:jc w:val="center"/>
        <w:rPr>
          <w:rFonts w:ascii="方正小标宋_GBK" w:eastAsia="方正小标宋_GBK"/>
          <w:sz w:val="40"/>
        </w:rPr>
      </w:pPr>
    </w:p>
    <w:p w:rsidR="00CA338A" w:rsidRDefault="00CA338A">
      <w:pPr>
        <w:jc w:val="center"/>
        <w:rPr>
          <w:rFonts w:ascii="方正小标宋_GBK" w:eastAsia="方正小标宋_GBK"/>
          <w:sz w:val="40"/>
        </w:rPr>
      </w:pPr>
    </w:p>
    <w:p w:rsidR="00CA338A" w:rsidRDefault="00CA338A" w:rsidP="00145ECB">
      <w:pPr>
        <w:rPr>
          <w:rFonts w:ascii="方正小标宋_GBK" w:eastAsia="方正小标宋_GBK"/>
          <w:sz w:val="40"/>
        </w:rPr>
      </w:pPr>
    </w:p>
    <w:p w:rsidR="00CA338A" w:rsidRDefault="00CA338A">
      <w:pPr>
        <w:jc w:val="center"/>
        <w:rPr>
          <w:rFonts w:ascii="方正小标宋_GBK" w:eastAsia="方正小标宋_GBK"/>
          <w:sz w:val="40"/>
        </w:rPr>
      </w:pPr>
    </w:p>
    <w:p w:rsidR="00CA338A" w:rsidRDefault="00CA338A">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821BC3" w:rsidRDefault="00821BC3">
      <w:pPr>
        <w:jc w:val="center"/>
        <w:rPr>
          <w:rFonts w:ascii="方正小标宋_GBK" w:eastAsia="方正小标宋_GBK" w:hint="eastAsia"/>
          <w:sz w:val="40"/>
        </w:rPr>
      </w:pPr>
    </w:p>
    <w:p w:rsidR="00CA338A" w:rsidRDefault="00CA338A">
      <w:pPr>
        <w:jc w:val="center"/>
        <w:rPr>
          <w:rFonts w:ascii="方正小标宋_GBK" w:eastAsia="方正小标宋_GBK"/>
          <w:sz w:val="40"/>
        </w:rPr>
      </w:pPr>
    </w:p>
    <w:p w:rsidR="00CA338A" w:rsidRDefault="00CA338A" w:rsidP="00145ECB">
      <w:pPr>
        <w:rPr>
          <w:rFonts w:ascii="楷体_GB2312" w:eastAsia="楷体_GB2312"/>
          <w:b/>
          <w:w w:val="90"/>
          <w:sz w:val="40"/>
        </w:rPr>
      </w:pPr>
    </w:p>
    <w:p w:rsidR="00CA338A" w:rsidRDefault="00145ECB">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CA338A" w:rsidRDefault="00145ECB">
      <w:pPr>
        <w:jc w:val="center"/>
        <w:rPr>
          <w:rFonts w:ascii="方正小标宋_GBK" w:eastAsia="方正小标宋_GBK"/>
          <w:sz w:val="32"/>
        </w:rPr>
      </w:pPr>
      <w:r>
        <w:rPr>
          <w:rFonts w:ascii="方正小标宋_GBK" w:eastAsia="方正小标宋_GBK"/>
          <w:sz w:val="32"/>
        </w:rPr>
        <w:br w:type="page"/>
      </w:r>
    </w:p>
    <w:p w:rsidR="00CA338A" w:rsidRDefault="00145ECB">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CA338A" w:rsidRDefault="00CA338A">
      <w:pPr>
        <w:pStyle w:val="1"/>
        <w:topLinePunct/>
        <w:spacing w:before="0" w:beforeAutospacing="0" w:after="0" w:afterAutospacing="0" w:line="360" w:lineRule="auto"/>
        <w:jc w:val="center"/>
        <w:rPr>
          <w:rFonts w:ascii="黑体" w:eastAsia="黑体" w:hAnsi="黑体"/>
          <w:color w:val="000000"/>
          <w:sz w:val="36"/>
          <w:szCs w:val="32"/>
        </w:rPr>
      </w:pPr>
    </w:p>
    <w:p w:rsidR="00CA338A" w:rsidRDefault="00145EC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CA338A" w:rsidRDefault="00145EC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2019年部门预算情况说明</w:t>
      </w:r>
    </w:p>
    <w:p w:rsidR="00CA338A" w:rsidRDefault="00145ECB">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CA338A" w:rsidRDefault="00145ECB">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w:t>
      </w:r>
      <w:r w:rsidRPr="00145ECB">
        <w:rPr>
          <w:rFonts w:ascii="黑体" w:eastAsia="黑体" w:hAnsi="黑体" w:hint="eastAsia"/>
          <w:sz w:val="32"/>
          <w:szCs w:val="32"/>
        </w:rPr>
        <w:t>华龙区科学技术协会2019</w:t>
      </w:r>
      <w:r>
        <w:rPr>
          <w:rFonts w:ascii="黑体" w:eastAsia="黑体" w:hAnsi="黑体" w:hint="eastAsia"/>
          <w:color w:val="000000"/>
          <w:sz w:val="32"/>
          <w:szCs w:val="32"/>
        </w:rPr>
        <w:t>年部门预算表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CA338A" w:rsidRDefault="00145ECB">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CA338A" w:rsidRDefault="00CA338A">
      <w:pPr>
        <w:ind w:firstLineChars="200" w:firstLine="640"/>
        <w:rPr>
          <w:rFonts w:ascii="黑体" w:eastAsia="黑体" w:hAnsi="黑体"/>
          <w:sz w:val="32"/>
          <w:szCs w:val="32"/>
        </w:rPr>
      </w:pPr>
    </w:p>
    <w:p w:rsidR="00CA338A" w:rsidRDefault="00145ECB">
      <w:pPr>
        <w:rPr>
          <w:rFonts w:ascii="黑体" w:eastAsia="黑体" w:hAnsi="黑体"/>
          <w:sz w:val="32"/>
          <w:szCs w:val="32"/>
        </w:rPr>
      </w:pPr>
      <w:r>
        <w:rPr>
          <w:rFonts w:ascii="黑体" w:eastAsia="黑体" w:hAnsi="黑体"/>
          <w:sz w:val="32"/>
          <w:szCs w:val="32"/>
        </w:rPr>
        <w:br w:type="page"/>
      </w:r>
    </w:p>
    <w:p w:rsidR="00CA338A" w:rsidRDefault="00CA338A">
      <w:pPr>
        <w:ind w:firstLineChars="200" w:firstLine="640"/>
        <w:rPr>
          <w:rFonts w:ascii="黑体" w:eastAsia="黑体" w:hAnsi="黑体"/>
          <w:sz w:val="32"/>
          <w:szCs w:val="32"/>
        </w:rPr>
      </w:pP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CA338A" w:rsidRDefault="00145ECB">
      <w:pPr>
        <w:ind w:firstLineChars="200" w:firstLine="640"/>
        <w:rPr>
          <w:rFonts w:ascii="黑体" w:eastAsia="黑体" w:hAnsi="黑体"/>
          <w:sz w:val="32"/>
          <w:szCs w:val="32"/>
        </w:rPr>
      </w:pPr>
      <w:r>
        <w:rPr>
          <w:rFonts w:ascii="黑体" w:eastAsia="黑体" w:hAnsi="黑体"/>
          <w:sz w:val="32"/>
          <w:szCs w:val="32"/>
        </w:rPr>
        <w:t> </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一、部门主要职责</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1、贯彻科学技术法律、法规，团结和组织科学技术工作者，保进科学技术的繁荣与发展。</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2、普及科学知识，推广先进技术，做好技术咨询服务；开展青少年科技教育活动。</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3、组织科技工作者开展科技下乡；开展人才培训。</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4、反映科学技术工作者的意见和要求，维护科学技术工作者的合法权益。</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5、开展各种形式的反邪教活动。</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6、开展全民科学素质和老科技工作者协会工作。</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二、机构设置情况</w:t>
      </w:r>
    </w:p>
    <w:p w:rsidR="00CA338A" w:rsidRDefault="00145ECB">
      <w:pPr>
        <w:snapToGrid w:val="0"/>
        <w:spacing w:line="520" w:lineRule="exact"/>
        <w:ind w:firstLineChars="200" w:firstLine="640"/>
        <w:rPr>
          <w:rFonts w:ascii="仿宋_GB2312" w:eastAsia="仿宋_GB2312" w:hAnsi="仿宋_GB2312" w:cs="仿宋_GB2312"/>
          <w:sz w:val="32"/>
          <w:szCs w:val="32"/>
        </w:rPr>
      </w:pPr>
      <w:r>
        <w:rPr>
          <w:rFonts w:ascii="仿宋" w:eastAsia="仿宋" w:hAnsi="仿宋" w:hint="eastAsia"/>
          <w:sz w:val="32"/>
          <w:szCs w:val="32"/>
        </w:rPr>
        <w:t>根据工作职责及实际工作需要，</w:t>
      </w:r>
      <w:r>
        <w:rPr>
          <w:rFonts w:ascii="仿宋_GB2312" w:eastAsia="仿宋_GB2312" w:hAnsi="仿宋_GB2312" w:cs="仿宋_GB2312" w:hint="eastAsia"/>
          <w:sz w:val="32"/>
          <w:szCs w:val="32"/>
        </w:rPr>
        <w:t>濮阳市华龙区科学技术协会设4个部室：办公室、科普部、学会学术部、反邪教协会办公室。</w:t>
      </w:r>
      <w:r>
        <w:rPr>
          <w:rFonts w:ascii="仿宋" w:eastAsia="仿宋" w:hAnsi="仿宋" w:hint="eastAsia"/>
          <w:sz w:val="32"/>
          <w:szCs w:val="32"/>
        </w:rPr>
        <w:t>本部门经费实行全额预算管理。</w:t>
      </w:r>
    </w:p>
    <w:p w:rsidR="00CA338A" w:rsidRDefault="00CA338A">
      <w:pPr>
        <w:ind w:firstLineChars="200" w:firstLine="640"/>
        <w:rPr>
          <w:rFonts w:ascii="仿宋" w:eastAsia="仿宋" w:hAnsi="仿宋"/>
          <w:sz w:val="32"/>
          <w:szCs w:val="32"/>
        </w:rPr>
      </w:pPr>
    </w:p>
    <w:p w:rsidR="00CA338A" w:rsidRDefault="00CA338A">
      <w:pPr>
        <w:ind w:firstLineChars="200" w:firstLine="640"/>
        <w:rPr>
          <w:rFonts w:ascii="仿宋" w:eastAsia="仿宋" w:hAnsi="仿宋"/>
          <w:sz w:val="32"/>
          <w:szCs w:val="32"/>
        </w:rPr>
      </w:pPr>
    </w:p>
    <w:p w:rsidR="00CA338A" w:rsidRDefault="00CA338A">
      <w:pPr>
        <w:ind w:firstLineChars="200" w:firstLine="640"/>
        <w:rPr>
          <w:rFonts w:ascii="黑体" w:eastAsia="黑体" w:hAnsi="黑体"/>
          <w:sz w:val="32"/>
          <w:szCs w:val="32"/>
        </w:rPr>
      </w:pP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第二部分</w:t>
      </w: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2019年部门预算情况说明</w:t>
      </w:r>
    </w:p>
    <w:p w:rsidR="00CA338A" w:rsidRDefault="00CA338A">
      <w:pPr>
        <w:ind w:firstLineChars="200" w:firstLine="640"/>
        <w:rPr>
          <w:rFonts w:ascii="华文仿宋" w:eastAsia="华文仿宋" w:hAnsi="华文仿宋"/>
          <w:sz w:val="32"/>
          <w:szCs w:val="32"/>
        </w:rPr>
      </w:pP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9年本部门财政预算收入总计88.19万元，支出总计88.19万元。</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CA338A" w:rsidRDefault="00145EC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9年本部门财政预算收入总计88.19万元，支出总计88.19万元。其中：基本支出63.19万元，占比71.65%，项目支出25万元，占比28.35%。</w:t>
      </w:r>
    </w:p>
    <w:p w:rsidR="00CA338A" w:rsidRPr="00141BDB" w:rsidRDefault="00145ECB">
      <w:pPr>
        <w:ind w:firstLineChars="200" w:firstLine="640"/>
        <w:rPr>
          <w:rFonts w:ascii="仿宋" w:eastAsia="仿宋" w:hAnsi="仿宋"/>
          <w:sz w:val="32"/>
          <w:szCs w:val="32"/>
        </w:rPr>
      </w:pPr>
      <w:r>
        <w:rPr>
          <w:rFonts w:ascii="仿宋" w:eastAsia="仿宋" w:hAnsi="仿宋" w:hint="eastAsia"/>
          <w:sz w:val="32"/>
          <w:szCs w:val="32"/>
        </w:rPr>
        <w:t>2019年本部门财政预算</w:t>
      </w:r>
      <w:r w:rsidRPr="00141BDB">
        <w:rPr>
          <w:rFonts w:ascii="仿宋" w:eastAsia="仿宋" w:hAnsi="仿宋" w:hint="eastAsia"/>
          <w:sz w:val="32"/>
          <w:szCs w:val="32"/>
        </w:rPr>
        <w:t>较上年增加5.2万元，增加6.27</w:t>
      </w:r>
      <w:r w:rsidRPr="00141BDB">
        <w:rPr>
          <w:rFonts w:ascii="仿宋" w:eastAsia="仿宋" w:hAnsi="仿宋"/>
          <w:sz w:val="32"/>
          <w:szCs w:val="32"/>
        </w:rPr>
        <w:t>%</w:t>
      </w:r>
      <w:r w:rsidRPr="00141BDB">
        <w:rPr>
          <w:rFonts w:ascii="仿宋" w:eastAsia="仿宋" w:hAnsi="仿宋" w:hint="eastAsia"/>
          <w:sz w:val="32"/>
          <w:szCs w:val="32"/>
        </w:rPr>
        <w:t>。主要原因是由于人员工资标准的调整和由此带来的各项社会保险缴存基数的提高，以及实际工作需要带来的项目支出变动调整。</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CA338A" w:rsidRDefault="00145EC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w:t>
      </w:r>
      <w:r w:rsidRPr="00141BDB">
        <w:rPr>
          <w:rFonts w:ascii="仿宋" w:eastAsia="仿宋" w:hAnsi="仿宋" w:hint="eastAsia"/>
          <w:sz w:val="32"/>
          <w:szCs w:val="32"/>
        </w:rPr>
        <w:t>机关运行经费安排2.4万元，主要用于办公费，比上年减少0.4万</w:t>
      </w:r>
      <w:r>
        <w:rPr>
          <w:rFonts w:ascii="仿宋" w:eastAsia="仿宋" w:hAnsi="仿宋" w:hint="eastAsia"/>
          <w:sz w:val="32"/>
          <w:szCs w:val="32"/>
        </w:rPr>
        <w:t>元，减少14.29%，主要原因是人员减少及深入贯彻落实</w:t>
      </w:r>
      <w:bookmarkStart w:id="0" w:name="_GoBack"/>
      <w:bookmarkEnd w:id="0"/>
      <w:r>
        <w:rPr>
          <w:rFonts w:ascii="仿宋" w:eastAsia="仿宋" w:hAnsi="仿宋" w:hint="eastAsia"/>
          <w:sz w:val="32"/>
          <w:szCs w:val="32"/>
        </w:rPr>
        <w:t>中央八项规定和厉行节约有关精神。</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CA338A" w:rsidRDefault="00145EC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9年本部门“三公”经费预算0万元，较上年减少0万元，主要原因是由于公车改革后，公车运行数量减少，运</w:t>
      </w:r>
      <w:r>
        <w:rPr>
          <w:rFonts w:ascii="仿宋" w:eastAsia="仿宋" w:hAnsi="仿宋" w:hint="eastAsia"/>
          <w:sz w:val="32"/>
          <w:szCs w:val="32"/>
        </w:rPr>
        <w:lastRenderedPageBreak/>
        <w:t>行维护成本降低，以及严格执行相关规定，厉行勤俭节约，压减“三公”经费。</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2.公务用车购置及运行费0万元，其中：公务用车购置0万元，公务用车运行费0万元。</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3.公务接待费0万元。</w:t>
      </w:r>
    </w:p>
    <w:p w:rsidR="00CA338A" w:rsidRDefault="00145ECB">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CA338A" w:rsidRDefault="00145ECB">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9年本部门无政府采购预算安排。</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CA338A" w:rsidRDefault="00145ECB">
      <w:pPr>
        <w:ind w:firstLineChars="200" w:firstLine="640"/>
        <w:rPr>
          <w:rFonts w:ascii="仿宋" w:eastAsia="仿宋" w:hAnsi="仿宋"/>
          <w:sz w:val="32"/>
          <w:szCs w:val="32"/>
        </w:rPr>
      </w:pPr>
      <w:r>
        <w:rPr>
          <w:rFonts w:ascii="仿宋" w:eastAsia="仿宋" w:hAnsi="仿宋"/>
          <w:sz w:val="32"/>
          <w:szCs w:val="32"/>
        </w:rPr>
        <w:t>截止201</w:t>
      </w:r>
      <w:r>
        <w:rPr>
          <w:rFonts w:ascii="仿宋" w:eastAsia="仿宋" w:hAnsi="仿宋" w:hint="eastAsia"/>
          <w:sz w:val="32"/>
          <w:szCs w:val="32"/>
        </w:rPr>
        <w:t>8年末，本部门共有车辆1辆，其中：一般公务用车0辆、一般执法执勤用车0辆、特种专业技术用车0辆，其他用车1辆，其他用车</w:t>
      </w:r>
      <w:r>
        <w:rPr>
          <w:rFonts w:ascii="仿宋" w:eastAsia="仿宋" w:hAnsi="仿宋" w:hint="eastAsia"/>
          <w:color w:val="000000"/>
          <w:sz w:val="32"/>
          <w:szCs w:val="32"/>
        </w:rPr>
        <w:t>主要是科普大篷车</w:t>
      </w:r>
      <w:r>
        <w:rPr>
          <w:rFonts w:ascii="仿宋" w:eastAsia="仿宋" w:hAnsi="仿宋" w:hint="eastAsia"/>
          <w:sz w:val="32"/>
          <w:szCs w:val="32"/>
        </w:rPr>
        <w:t>；单位价值</w:t>
      </w:r>
      <w:r>
        <w:rPr>
          <w:rFonts w:ascii="仿宋" w:eastAsia="仿宋" w:hAnsi="仿宋"/>
          <w:sz w:val="32"/>
          <w:szCs w:val="32"/>
        </w:rPr>
        <w:t>50</w:t>
      </w:r>
      <w:r>
        <w:rPr>
          <w:rFonts w:ascii="仿宋" w:eastAsia="仿宋" w:hAnsi="仿宋" w:hint="eastAsia"/>
          <w:sz w:val="32"/>
          <w:szCs w:val="32"/>
        </w:rPr>
        <w:t>万元以上通用设备0台（套），单位价值</w:t>
      </w:r>
      <w:r>
        <w:rPr>
          <w:rFonts w:ascii="仿宋" w:eastAsia="仿宋" w:hAnsi="仿宋"/>
          <w:sz w:val="32"/>
          <w:szCs w:val="32"/>
        </w:rPr>
        <w:t>100</w:t>
      </w:r>
      <w:r>
        <w:rPr>
          <w:rFonts w:ascii="仿宋" w:eastAsia="仿宋" w:hAnsi="仿宋" w:hint="eastAsia"/>
          <w:sz w:val="32"/>
          <w:szCs w:val="32"/>
        </w:rPr>
        <w:t>万元以上专用设备0台（套）。</w:t>
      </w:r>
    </w:p>
    <w:p w:rsidR="00CA338A" w:rsidRDefault="00145ECB">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按照《濮阳市华龙区财政局关于编制区级2019年部门预算（草案）和2019-2021年财政规划的通知》（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105号）有关全面推进预算绩效管理方面的要求，本部门牢固树立“讲绩效、重绩效、用绩效”的绩效管理理念，年度预算申报时，针对政策及重点项目逐项设立并报送了预算绩</w:t>
      </w:r>
      <w:r>
        <w:rPr>
          <w:rFonts w:ascii="仿宋" w:eastAsia="仿宋" w:hAnsi="仿宋" w:hint="eastAsia"/>
          <w:sz w:val="32"/>
          <w:szCs w:val="32"/>
        </w:rPr>
        <w:lastRenderedPageBreak/>
        <w:t>效目标，努力建立健全以结果为导向的预算绩效管理工作机制。</w:t>
      </w:r>
    </w:p>
    <w:p w:rsidR="00CA338A" w:rsidRDefault="00CA338A" w:rsidP="00141BDB">
      <w:pPr>
        <w:rPr>
          <w:rFonts w:ascii="黑体" w:eastAsia="黑体" w:hAnsi="黑体"/>
          <w:sz w:val="32"/>
          <w:szCs w:val="32"/>
        </w:rPr>
      </w:pP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CA338A" w:rsidRDefault="00145ECB">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CA338A" w:rsidRDefault="00CA338A">
      <w:pPr>
        <w:ind w:firstLineChars="200" w:firstLine="640"/>
        <w:rPr>
          <w:rFonts w:ascii="仿宋" w:eastAsia="仿宋" w:hAnsi="仿宋"/>
          <w:sz w:val="32"/>
          <w:szCs w:val="32"/>
        </w:rPr>
      </w:pPr>
    </w:p>
    <w:p w:rsidR="00CA338A" w:rsidRDefault="00145ECB">
      <w:pPr>
        <w:ind w:firstLine="640"/>
        <w:rPr>
          <w:rFonts w:ascii="黑体" w:eastAsia="黑体" w:hAnsi="黑体"/>
          <w:sz w:val="32"/>
          <w:szCs w:val="32"/>
        </w:rPr>
      </w:pPr>
      <w:r>
        <w:rPr>
          <w:rFonts w:ascii="黑体" w:eastAsia="黑体" w:hAnsi="黑体" w:hint="eastAsia"/>
          <w:sz w:val="32"/>
          <w:szCs w:val="32"/>
        </w:rPr>
        <w:t>一、财政拨款收入</w:t>
      </w:r>
    </w:p>
    <w:p w:rsidR="00CA338A" w:rsidRDefault="00145ECB">
      <w:pPr>
        <w:ind w:firstLine="640"/>
        <w:rPr>
          <w:rFonts w:ascii="仿宋" w:eastAsia="仿宋" w:hAnsi="仿宋"/>
          <w:sz w:val="32"/>
          <w:szCs w:val="32"/>
        </w:rPr>
      </w:pPr>
      <w:r>
        <w:rPr>
          <w:rFonts w:ascii="仿宋" w:eastAsia="仿宋" w:hAnsi="仿宋" w:hint="eastAsia"/>
          <w:sz w:val="32"/>
          <w:szCs w:val="32"/>
        </w:rPr>
        <w:t>指本级财政当年拨付的资金。</w:t>
      </w:r>
    </w:p>
    <w:p w:rsidR="00CA338A" w:rsidRDefault="00145ECB">
      <w:pPr>
        <w:ind w:firstLine="640"/>
        <w:rPr>
          <w:rFonts w:ascii="黑体" w:eastAsia="黑体" w:hAnsi="黑体"/>
          <w:sz w:val="32"/>
          <w:szCs w:val="32"/>
        </w:rPr>
      </w:pPr>
      <w:r>
        <w:rPr>
          <w:rFonts w:ascii="黑体" w:eastAsia="黑体" w:hAnsi="黑体" w:hint="eastAsia"/>
          <w:sz w:val="32"/>
          <w:szCs w:val="32"/>
        </w:rPr>
        <w:t>二、事业收入</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CA338A" w:rsidRDefault="00145ECB">
      <w:pPr>
        <w:ind w:firstLine="640"/>
        <w:rPr>
          <w:rFonts w:ascii="黑体" w:eastAsia="黑体" w:hAnsi="黑体"/>
          <w:sz w:val="32"/>
          <w:szCs w:val="32"/>
        </w:rPr>
      </w:pPr>
      <w:r>
        <w:rPr>
          <w:rFonts w:ascii="黑体" w:eastAsia="黑体" w:hAnsi="黑体" w:hint="eastAsia"/>
          <w:sz w:val="32"/>
          <w:szCs w:val="32"/>
        </w:rPr>
        <w:t>三、其他收入</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CA338A" w:rsidRDefault="00145ECB">
      <w:pPr>
        <w:ind w:firstLine="640"/>
        <w:rPr>
          <w:rFonts w:ascii="黑体" w:eastAsia="黑体" w:hAnsi="黑体"/>
          <w:sz w:val="32"/>
          <w:szCs w:val="32"/>
        </w:rPr>
      </w:pPr>
      <w:r>
        <w:rPr>
          <w:rFonts w:ascii="黑体" w:eastAsia="黑体" w:hAnsi="黑体" w:hint="eastAsia"/>
          <w:sz w:val="32"/>
          <w:szCs w:val="32"/>
        </w:rPr>
        <w:t>四、基本支出</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CA338A" w:rsidRDefault="00145ECB">
      <w:pPr>
        <w:ind w:firstLine="640"/>
        <w:rPr>
          <w:rFonts w:ascii="黑体" w:eastAsia="黑体" w:hAnsi="黑体"/>
          <w:sz w:val="32"/>
          <w:szCs w:val="32"/>
        </w:rPr>
      </w:pPr>
      <w:r>
        <w:rPr>
          <w:rFonts w:ascii="黑体" w:eastAsia="黑体" w:hAnsi="黑体" w:hint="eastAsia"/>
          <w:sz w:val="32"/>
          <w:szCs w:val="32"/>
        </w:rPr>
        <w:t>五、项目支出</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CA338A" w:rsidRDefault="00145ECB">
      <w:pPr>
        <w:ind w:firstLine="640"/>
        <w:rPr>
          <w:rFonts w:ascii="黑体" w:eastAsia="黑体" w:hAnsi="黑体"/>
          <w:sz w:val="32"/>
          <w:szCs w:val="32"/>
        </w:rPr>
      </w:pPr>
      <w:r>
        <w:rPr>
          <w:rFonts w:ascii="黑体" w:eastAsia="黑体" w:hAnsi="黑体" w:hint="eastAsia"/>
          <w:sz w:val="32"/>
          <w:szCs w:val="32"/>
        </w:rPr>
        <w:t>六、机关运行经费</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w:t>
      </w:r>
      <w:r>
        <w:rPr>
          <w:rFonts w:ascii="仿宋" w:eastAsia="仿宋" w:hAnsi="仿宋" w:hint="eastAsia"/>
          <w:sz w:val="32"/>
          <w:szCs w:val="32"/>
        </w:rPr>
        <w:lastRenderedPageBreak/>
        <w:t>邮电费、差旅费、会议费、福利费、日常维修费及一般设备购置费、办公用房水电费、办公用房取暖费、办公用房物业管理费、公务用车运行维护费以及其他费用。</w:t>
      </w:r>
    </w:p>
    <w:p w:rsidR="00CA338A" w:rsidRDefault="00145ECB">
      <w:pPr>
        <w:ind w:firstLine="640"/>
        <w:rPr>
          <w:rFonts w:ascii="黑体" w:eastAsia="黑体" w:hAnsi="黑体"/>
          <w:sz w:val="32"/>
          <w:szCs w:val="32"/>
        </w:rPr>
      </w:pPr>
      <w:r>
        <w:rPr>
          <w:rFonts w:ascii="黑体" w:eastAsia="黑体" w:hAnsi="黑体" w:hint="eastAsia"/>
          <w:sz w:val="32"/>
          <w:szCs w:val="32"/>
        </w:rPr>
        <w:t>七、“三公”经费</w:t>
      </w:r>
    </w:p>
    <w:p w:rsidR="00CA338A" w:rsidRDefault="00145ECB">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CA338A" w:rsidRDefault="00CA338A">
      <w:pPr>
        <w:ind w:firstLineChars="200" w:firstLine="640"/>
        <w:rPr>
          <w:rFonts w:ascii="仿宋" w:eastAsia="仿宋" w:hAnsi="仿宋"/>
          <w:sz w:val="32"/>
          <w:szCs w:val="32"/>
        </w:rPr>
      </w:pPr>
    </w:p>
    <w:p w:rsidR="00CA338A" w:rsidRDefault="00145ECB">
      <w:pPr>
        <w:pStyle w:val="1"/>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附件：濮阳市华龙</w:t>
      </w:r>
      <w:r w:rsidRPr="00141BDB">
        <w:rPr>
          <w:rFonts w:ascii="黑体" w:eastAsia="黑体" w:hAnsi="黑体" w:hint="eastAsia"/>
          <w:sz w:val="32"/>
          <w:szCs w:val="32"/>
        </w:rPr>
        <w:t>区科学技术协会2</w:t>
      </w:r>
      <w:r>
        <w:rPr>
          <w:rFonts w:ascii="黑体" w:eastAsia="黑体" w:hAnsi="黑体" w:hint="eastAsia"/>
          <w:color w:val="000000"/>
          <w:sz w:val="32"/>
          <w:szCs w:val="32"/>
        </w:rPr>
        <w:t>019年部门预算表（详见附表）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CA338A" w:rsidRDefault="00145ECB">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CA338A" w:rsidRDefault="00145ECB">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CA33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939" w:rsidRDefault="00A51939" w:rsidP="00141BDB">
      <w:r>
        <w:separator/>
      </w:r>
    </w:p>
  </w:endnote>
  <w:endnote w:type="continuationSeparator" w:id="0">
    <w:p w:rsidR="00A51939" w:rsidRDefault="00A51939" w:rsidP="0014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939" w:rsidRDefault="00A51939" w:rsidP="00141BDB">
      <w:r>
        <w:separator/>
      </w:r>
    </w:p>
  </w:footnote>
  <w:footnote w:type="continuationSeparator" w:id="0">
    <w:p w:rsidR="00A51939" w:rsidRDefault="00A51939" w:rsidP="00141B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38A"/>
    <w:rsid w:val="000C35E4"/>
    <w:rsid w:val="00141BDB"/>
    <w:rsid w:val="00145ECB"/>
    <w:rsid w:val="00544C20"/>
    <w:rsid w:val="00821BC3"/>
    <w:rsid w:val="00A51939"/>
    <w:rsid w:val="00CA3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rPr>
  </w:style>
  <w:style w:type="character" w:customStyle="1" w:styleId="Char">
    <w:name w:val="页脚 Char"/>
    <w:link w:val="a3"/>
    <w:semiHidden/>
    <w:rPr>
      <w:rFonts w:cs="Times New Roman"/>
      <w:sz w:val="18"/>
    </w:rPr>
  </w:style>
  <w:style w:type="paragraph" w:styleId="a4">
    <w:name w:val="header"/>
    <w:basedOn w:val="a"/>
    <w:link w:val="Char0"/>
    <w:pPr>
      <w:pBdr>
        <w:bottom w:val="single" w:sz="6" w:space="1" w:color="auto"/>
      </w:pBdr>
      <w:tabs>
        <w:tab w:val="center" w:pos="4153"/>
        <w:tab w:val="right" w:pos="8306"/>
      </w:tabs>
      <w:snapToGrid w:val="0"/>
      <w:jc w:val="center"/>
    </w:pPr>
    <w:rPr>
      <w:sz w:val="18"/>
    </w:rPr>
  </w:style>
  <w:style w:type="character" w:customStyle="1" w:styleId="Char0">
    <w:name w:val="页眉 Char"/>
    <w:link w:val="a4"/>
    <w:semiHidden/>
    <w:rPr>
      <w:rFonts w:cs="Times New Roman"/>
      <w:sz w:val="18"/>
    </w:rPr>
  </w:style>
  <w:style w:type="paragraph" w:customStyle="1" w:styleId="Default">
    <w:name w:val="Default"/>
    <w:pPr>
      <w:widowControl w:val="0"/>
      <w:autoSpaceDE w:val="0"/>
      <w:autoSpaceDN w:val="0"/>
      <w:adjustRightInd w:val="0"/>
    </w:pPr>
    <w:rPr>
      <w:rFonts w:ascii="黑体" w:hAnsi="黑体" w:cs="黑体"/>
      <w:color w:val="000000"/>
      <w:sz w:val="24"/>
      <w:szCs w:val="24"/>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cp:revision>
  <dcterms:created xsi:type="dcterms:W3CDTF">2017-10-31T11:18:00Z</dcterms:created>
  <dcterms:modified xsi:type="dcterms:W3CDTF">2019-05-22T01:12:00Z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