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410" w:rsidRDefault="00073410">
      <w:pPr>
        <w:rPr>
          <w:rFonts w:ascii="方正小标宋_GBK" w:eastAsia="方正小标宋_GBK"/>
          <w:sz w:val="40"/>
        </w:rPr>
      </w:pPr>
    </w:p>
    <w:p w:rsidR="00073410" w:rsidRDefault="00073410">
      <w:pPr>
        <w:rPr>
          <w:rFonts w:ascii="方正小标宋_GBK" w:eastAsia="方正小标宋_GBK"/>
          <w:sz w:val="40"/>
        </w:rPr>
      </w:pPr>
    </w:p>
    <w:p w:rsidR="00073410" w:rsidRDefault="00073410">
      <w:pPr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w w:val="85"/>
          <w:sz w:val="56"/>
        </w:rPr>
      </w:pPr>
    </w:p>
    <w:p w:rsidR="00073410" w:rsidRDefault="007C7CC8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</w:t>
      </w:r>
      <w:proofErr w:type="gramStart"/>
      <w:r>
        <w:rPr>
          <w:rFonts w:ascii="方正小标宋_GBK" w:eastAsia="方正小标宋_GBK" w:hint="eastAsia"/>
          <w:w w:val="85"/>
          <w:sz w:val="56"/>
        </w:rPr>
        <w:t>濮东产业</w:t>
      </w:r>
      <w:proofErr w:type="gramEnd"/>
      <w:r>
        <w:rPr>
          <w:rFonts w:ascii="方正小标宋_GBK" w:eastAsia="方正小标宋_GBK" w:hint="eastAsia"/>
          <w:w w:val="85"/>
          <w:sz w:val="56"/>
        </w:rPr>
        <w:t>集聚区管理委员会</w:t>
      </w:r>
    </w:p>
    <w:p w:rsidR="00073410" w:rsidRDefault="007C7CC8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073410" w:rsidRDefault="00073410">
      <w:pPr>
        <w:jc w:val="center"/>
        <w:rPr>
          <w:rFonts w:ascii="方正小标宋_GBK" w:eastAsia="方正小标宋_GBK"/>
          <w:b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073410">
      <w:pPr>
        <w:jc w:val="center"/>
        <w:rPr>
          <w:rFonts w:ascii="方正小标宋_GBK" w:eastAsia="方正小标宋_GBK"/>
          <w:sz w:val="40"/>
        </w:rPr>
      </w:pPr>
    </w:p>
    <w:p w:rsidR="00073410" w:rsidRDefault="007C7CC8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073410" w:rsidRDefault="007C7CC8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073410" w:rsidRDefault="007C7CC8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44"/>
          <w:szCs w:val="32"/>
        </w:rPr>
      </w:pPr>
      <w:r>
        <w:rPr>
          <w:rFonts w:ascii="黑体" w:eastAsia="黑体" w:hAnsi="黑体" w:hint="eastAsia"/>
          <w:sz w:val="44"/>
          <w:szCs w:val="32"/>
        </w:rPr>
        <w:t>目</w:t>
      </w:r>
      <w:r>
        <w:rPr>
          <w:rFonts w:ascii="黑体" w:eastAsia="黑体" w:hAnsi="黑体"/>
          <w:sz w:val="44"/>
          <w:szCs w:val="32"/>
        </w:rPr>
        <w:t> </w:t>
      </w:r>
      <w:r>
        <w:rPr>
          <w:rFonts w:ascii="黑体" w:eastAsia="黑体" w:hAnsi="黑体" w:hint="eastAsia"/>
          <w:sz w:val="44"/>
          <w:szCs w:val="32"/>
        </w:rPr>
        <w:t>录</w:t>
      </w:r>
    </w:p>
    <w:p w:rsidR="00073410" w:rsidRDefault="00073410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36"/>
          <w:szCs w:val="32"/>
        </w:rPr>
      </w:pPr>
    </w:p>
    <w:p w:rsidR="00073410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>
        <w:rPr>
          <w:rFonts w:ascii="黑体" w:eastAsia="黑体" w:hAnsi="黑体" w:hint="eastAsia"/>
          <w:sz w:val="32"/>
          <w:szCs w:val="32"/>
        </w:rPr>
        <w:t>第一部分</w:t>
      </w:r>
      <w:r>
        <w:rPr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部门概况</w:t>
      </w:r>
      <w:r>
        <w:rPr>
          <w:sz w:val="32"/>
          <w:szCs w:val="32"/>
        </w:rPr>
        <w:t> 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073410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</w:t>
      </w:r>
      <w:r>
        <w:rPr>
          <w:rFonts w:ascii="黑体" w:eastAsia="黑体" w:hAnsi="黑体"/>
          <w:sz w:val="32"/>
          <w:szCs w:val="32"/>
        </w:rPr>
        <w:t xml:space="preserve"> 2019</w:t>
      </w:r>
      <w:r>
        <w:rPr>
          <w:rFonts w:ascii="黑体" w:eastAsia="黑体" w:hAnsi="黑体" w:hint="eastAsia"/>
          <w:sz w:val="32"/>
          <w:szCs w:val="32"/>
        </w:rPr>
        <w:t>年部门预算情况说明</w:t>
      </w:r>
      <w:r>
        <w:rPr>
          <w:rFonts w:ascii="黑体" w:eastAsia="黑体" w:hAnsi="黑体"/>
          <w:sz w:val="32"/>
          <w:szCs w:val="32"/>
        </w:rPr>
        <w:t> </w:t>
      </w:r>
    </w:p>
    <w:p w:rsidR="00073410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名词解释</w:t>
      </w:r>
    </w:p>
    <w:p w:rsidR="00073410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>
        <w:rPr>
          <w:rFonts w:ascii="黑体" w:eastAsia="黑体" w:hAnsi="黑体" w:hint="eastAsia"/>
          <w:sz w:val="32"/>
          <w:szCs w:val="32"/>
        </w:rPr>
        <w:t>附件：濮阳市</w:t>
      </w:r>
      <w:proofErr w:type="gramStart"/>
      <w:r>
        <w:rPr>
          <w:rFonts w:ascii="黑体" w:eastAsia="黑体" w:hAnsi="黑体" w:hint="eastAsia"/>
          <w:sz w:val="32"/>
          <w:szCs w:val="32"/>
        </w:rPr>
        <w:t>濮东产业</w:t>
      </w:r>
      <w:proofErr w:type="gramEnd"/>
      <w:r>
        <w:rPr>
          <w:rFonts w:ascii="黑体" w:eastAsia="黑体" w:hAnsi="黑体" w:hint="eastAsia"/>
          <w:sz w:val="32"/>
          <w:szCs w:val="32"/>
        </w:rPr>
        <w:t>集聚区管理委员会</w:t>
      </w:r>
      <w:r>
        <w:rPr>
          <w:rFonts w:ascii="黑体" w:eastAsia="黑体" w:hAnsi="黑体"/>
          <w:sz w:val="32"/>
          <w:szCs w:val="32"/>
        </w:rPr>
        <w:t>2018</w:t>
      </w:r>
      <w:r>
        <w:rPr>
          <w:spacing w:val="-116"/>
          <w:sz w:val="32"/>
          <w:szCs w:val="32"/>
        </w:rPr>
        <w:t> </w:t>
      </w:r>
      <w:proofErr w:type="gramStart"/>
      <w:r>
        <w:rPr>
          <w:rFonts w:ascii="黑体" w:eastAsia="黑体" w:hAnsi="黑体" w:hint="eastAsia"/>
          <w:sz w:val="32"/>
          <w:szCs w:val="32"/>
        </w:rPr>
        <w:t>年部门</w:t>
      </w:r>
      <w:proofErr w:type="gramEnd"/>
      <w:r>
        <w:rPr>
          <w:rFonts w:ascii="黑体" w:eastAsia="黑体" w:hAnsi="黑体" w:hint="eastAsia"/>
          <w:sz w:val="32"/>
          <w:szCs w:val="32"/>
        </w:rPr>
        <w:t>预算表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073410" w:rsidRPr="00316549" w:rsidRDefault="007C7CC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/>
          <w:color w:val="000000"/>
          <w:sz w:val="32"/>
          <w:szCs w:val="32"/>
        </w:rPr>
      </w:pPr>
      <w:r w:rsidRPr="00316549"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073410" w:rsidRDefault="00073410">
      <w:pPr>
        <w:ind w:firstLineChars="200" w:firstLine="640"/>
        <w:rPr>
          <w:rFonts w:ascii="宋体"/>
          <w:sz w:val="32"/>
          <w:szCs w:val="32"/>
        </w:rPr>
      </w:pPr>
    </w:p>
    <w:p w:rsidR="00073410" w:rsidRDefault="007C7CC8">
      <w:pPr>
        <w:rPr>
          <w:rFonts w:ascii="黑体" w:eastAsia="黑体" w:hAnsi="黑体"/>
          <w:sz w:val="32"/>
          <w:szCs w:val="32"/>
        </w:rPr>
      </w:pPr>
      <w:r>
        <w:rPr>
          <w:rFonts w:ascii="宋体"/>
          <w:sz w:val="32"/>
          <w:szCs w:val="32"/>
        </w:rPr>
        <w:br w:type="page"/>
      </w:r>
    </w:p>
    <w:p w:rsidR="00073410" w:rsidRDefault="0007341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073410" w:rsidRDefault="007C7CC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第一部分</w:t>
      </w:r>
    </w:p>
    <w:p w:rsidR="00073410" w:rsidRDefault="007C7CC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部门概况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1</w:t>
      </w:r>
      <w:r w:rsidRPr="00316549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316549">
        <w:rPr>
          <w:rFonts w:ascii="仿宋" w:eastAsia="仿宋" w:hAnsi="仿宋" w:hint="eastAsia"/>
          <w:sz w:val="32"/>
          <w:szCs w:val="32"/>
        </w:rPr>
        <w:t>拟定</w:t>
      </w:r>
      <w:r w:rsidRPr="00316549">
        <w:rPr>
          <w:rFonts w:ascii="仿宋" w:eastAsia="仿宋" w:hAnsi="仿宋" w:hint="eastAsia"/>
          <w:sz w:val="32"/>
          <w:szCs w:val="32"/>
        </w:rPr>
        <w:t>拟定</w:t>
      </w:r>
      <w:proofErr w:type="gramEnd"/>
      <w:r w:rsidRPr="00316549">
        <w:rPr>
          <w:rFonts w:ascii="仿宋" w:eastAsia="仿宋" w:hAnsi="仿宋" w:hint="eastAsia"/>
          <w:sz w:val="32"/>
          <w:szCs w:val="32"/>
        </w:rPr>
        <w:t>产业集聚区规划并组织实施；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2</w:t>
      </w:r>
      <w:r w:rsidRPr="00316549">
        <w:rPr>
          <w:rFonts w:ascii="仿宋" w:eastAsia="仿宋" w:hAnsi="仿宋" w:hint="eastAsia"/>
          <w:sz w:val="32"/>
          <w:szCs w:val="32"/>
        </w:rPr>
        <w:t>、建设管理基础设施和公共服务设施；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3</w:t>
      </w:r>
      <w:r w:rsidRPr="00316549">
        <w:rPr>
          <w:rFonts w:ascii="仿宋" w:eastAsia="仿宋" w:hAnsi="仿宋" w:hint="eastAsia"/>
          <w:sz w:val="32"/>
          <w:szCs w:val="32"/>
        </w:rPr>
        <w:t>、招商引资、承接产业转移和经济协作；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4</w:t>
      </w:r>
      <w:r w:rsidRPr="00316549">
        <w:rPr>
          <w:rFonts w:ascii="仿宋" w:eastAsia="仿宋" w:hAnsi="仿宋" w:hint="eastAsia"/>
          <w:sz w:val="32"/>
          <w:szCs w:val="32"/>
        </w:rPr>
        <w:t>、建立并管理投融资、土地收储、中小企业信用担保、人才等要素平台；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5</w:t>
      </w:r>
      <w:r w:rsidRPr="00316549">
        <w:rPr>
          <w:rFonts w:ascii="仿宋" w:eastAsia="仿宋" w:hAnsi="仿宋" w:hint="eastAsia"/>
          <w:sz w:val="32"/>
          <w:szCs w:val="32"/>
        </w:rPr>
        <w:t>、审核投资项目，按照规定权限进行备案和上报；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6</w:t>
      </w:r>
      <w:r w:rsidRPr="00316549">
        <w:rPr>
          <w:rFonts w:ascii="仿宋" w:eastAsia="仿宋" w:hAnsi="仿宋" w:hint="eastAsia"/>
          <w:sz w:val="32"/>
          <w:szCs w:val="32"/>
        </w:rPr>
        <w:t>、优化企业生产经营环境，维护企业合法权益；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7</w:t>
      </w:r>
      <w:r w:rsidRPr="00316549">
        <w:rPr>
          <w:rFonts w:ascii="仿宋" w:eastAsia="仿宋" w:hAnsi="仿宋" w:hint="eastAsia"/>
          <w:sz w:val="32"/>
          <w:szCs w:val="32"/>
        </w:rPr>
        <w:t>、培育和发展行业协会等中介组织；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8</w:t>
      </w:r>
      <w:r w:rsidRPr="00316549">
        <w:rPr>
          <w:rFonts w:ascii="仿宋" w:eastAsia="仿宋" w:hAnsi="仿宋" w:hint="eastAsia"/>
          <w:sz w:val="32"/>
          <w:szCs w:val="32"/>
        </w:rPr>
        <w:t>、承担相关职能部门派驻机构的协调服务工作；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9</w:t>
      </w:r>
      <w:r w:rsidRPr="00316549">
        <w:rPr>
          <w:rFonts w:ascii="仿宋" w:eastAsia="仿宋" w:hAnsi="仿宋" w:hint="eastAsia"/>
          <w:sz w:val="32"/>
          <w:szCs w:val="32"/>
        </w:rPr>
        <w:t>、负责产业集聚区管理委员会干部的考核、晋升、调整和惩戒工作；</w:t>
      </w:r>
    </w:p>
    <w:p w:rsidR="00073410" w:rsidRPr="00316549" w:rsidRDefault="007C7CC8" w:rsidP="0031654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/>
          <w:sz w:val="32"/>
          <w:szCs w:val="32"/>
        </w:rPr>
        <w:t>10</w:t>
      </w:r>
      <w:r w:rsidRPr="00316549">
        <w:rPr>
          <w:rFonts w:ascii="仿宋" w:eastAsia="仿宋" w:hAnsi="仿宋" w:hint="eastAsia"/>
          <w:sz w:val="32"/>
          <w:szCs w:val="32"/>
        </w:rPr>
        <w:t>、承办当地党委政府交办的其他工作。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073410" w:rsidRPr="00316549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 w:hint="eastAsia"/>
          <w:sz w:val="32"/>
          <w:szCs w:val="32"/>
        </w:rPr>
        <w:t>根据工作职责及实际工作需要，经编委会研究决定，濮阳市</w:t>
      </w:r>
      <w:proofErr w:type="gramStart"/>
      <w:r w:rsidRPr="00316549">
        <w:rPr>
          <w:rFonts w:ascii="仿宋" w:eastAsia="仿宋" w:hAnsi="仿宋" w:hint="eastAsia"/>
          <w:sz w:val="32"/>
          <w:szCs w:val="32"/>
        </w:rPr>
        <w:t>濮东产业</w:t>
      </w:r>
      <w:proofErr w:type="gramEnd"/>
      <w:r w:rsidRPr="00316549">
        <w:rPr>
          <w:rFonts w:ascii="仿宋" w:eastAsia="仿宋" w:hAnsi="仿宋" w:hint="eastAsia"/>
          <w:sz w:val="32"/>
          <w:szCs w:val="32"/>
        </w:rPr>
        <w:t>集聚区管理委员会机构规格为副处级，为区政府的派出机构，对产业区实行统一领导、同意规划、统一管</w:t>
      </w:r>
      <w:r w:rsidRPr="00316549">
        <w:rPr>
          <w:rFonts w:ascii="仿宋" w:eastAsia="仿宋" w:hAnsi="仿宋" w:hint="eastAsia"/>
          <w:sz w:val="32"/>
          <w:szCs w:val="32"/>
        </w:rPr>
        <w:lastRenderedPageBreak/>
        <w:t>理。</w:t>
      </w:r>
    </w:p>
    <w:p w:rsidR="00073410" w:rsidRPr="00316549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 w:hint="eastAsia"/>
          <w:sz w:val="32"/>
          <w:szCs w:val="32"/>
        </w:rPr>
        <w:t>按照“小机构、大服务”的管理模式和“精干、高效、统一”的原则，濮阳市</w:t>
      </w:r>
      <w:proofErr w:type="gramStart"/>
      <w:r w:rsidRPr="00316549">
        <w:rPr>
          <w:rFonts w:ascii="仿宋" w:eastAsia="仿宋" w:hAnsi="仿宋" w:hint="eastAsia"/>
          <w:sz w:val="32"/>
          <w:szCs w:val="32"/>
        </w:rPr>
        <w:t>濮东产业</w:t>
      </w:r>
      <w:proofErr w:type="gramEnd"/>
      <w:r w:rsidRPr="00316549">
        <w:rPr>
          <w:rFonts w:ascii="仿宋" w:eastAsia="仿宋" w:hAnsi="仿宋" w:hint="eastAsia"/>
          <w:sz w:val="32"/>
          <w:szCs w:val="32"/>
        </w:rPr>
        <w:t>集聚区管理委员会分别设</w:t>
      </w:r>
      <w:r w:rsidRPr="00316549">
        <w:rPr>
          <w:rFonts w:ascii="仿宋" w:eastAsia="仿宋" w:hAnsi="仿宋"/>
          <w:sz w:val="32"/>
          <w:szCs w:val="32"/>
        </w:rPr>
        <w:t>4</w:t>
      </w:r>
      <w:r w:rsidRPr="00316549">
        <w:rPr>
          <w:rFonts w:ascii="仿宋" w:eastAsia="仿宋" w:hAnsi="仿宋" w:hint="eastAsia"/>
          <w:sz w:val="32"/>
          <w:szCs w:val="32"/>
        </w:rPr>
        <w:t>个副科级内设机构及</w:t>
      </w:r>
      <w:r w:rsidRPr="00316549">
        <w:rPr>
          <w:rFonts w:ascii="仿宋" w:eastAsia="仿宋" w:hAnsi="仿宋"/>
          <w:sz w:val="32"/>
          <w:szCs w:val="32"/>
        </w:rPr>
        <w:t>2</w:t>
      </w:r>
      <w:r w:rsidRPr="00316549">
        <w:rPr>
          <w:rFonts w:ascii="仿宋" w:eastAsia="仿宋" w:hAnsi="仿宋" w:hint="eastAsia"/>
          <w:sz w:val="32"/>
          <w:szCs w:val="32"/>
        </w:rPr>
        <w:t>个隶属</w:t>
      </w:r>
      <w:proofErr w:type="gramStart"/>
      <w:r w:rsidRPr="00316549">
        <w:rPr>
          <w:rFonts w:ascii="仿宋" w:eastAsia="仿宋" w:hAnsi="仿宋" w:hint="eastAsia"/>
          <w:sz w:val="32"/>
          <w:szCs w:val="32"/>
        </w:rPr>
        <w:t>濮东产业</w:t>
      </w:r>
      <w:proofErr w:type="gramEnd"/>
      <w:r w:rsidRPr="00316549">
        <w:rPr>
          <w:rFonts w:ascii="仿宋" w:eastAsia="仿宋" w:hAnsi="仿宋" w:hint="eastAsia"/>
          <w:sz w:val="32"/>
          <w:szCs w:val="32"/>
        </w:rPr>
        <w:t>集聚区管委会领导的相当于股级事业单位，非独立核算。</w:t>
      </w:r>
    </w:p>
    <w:p w:rsidR="00073410" w:rsidRPr="00316549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 w:hint="eastAsia"/>
          <w:sz w:val="32"/>
          <w:szCs w:val="32"/>
        </w:rPr>
        <w:t>综</w:t>
      </w:r>
      <w:r w:rsidRPr="00316549">
        <w:rPr>
          <w:rFonts w:ascii="仿宋" w:eastAsia="仿宋" w:hAnsi="仿宋" w:hint="eastAsia"/>
          <w:sz w:val="32"/>
          <w:szCs w:val="32"/>
        </w:rPr>
        <w:t>合办公室（副科级）：负责产业集聚区管理委员会日常事务的综合协调工作；承办公文处理、纪要保密、文书档案、政策研究、会务接待、对外宣传和信息工作；负责机关财务和后勤管理工作；负责产业区管委会的组织、机构编制、人力资源和社会保障工作；负责产业区管理委员会干部的考核、晋升、调整和惩戒工作；负责</w:t>
      </w:r>
      <w:proofErr w:type="gramStart"/>
      <w:r w:rsidRPr="00316549">
        <w:rPr>
          <w:rFonts w:ascii="仿宋" w:eastAsia="仿宋" w:hAnsi="仿宋" w:hint="eastAsia"/>
          <w:sz w:val="32"/>
          <w:szCs w:val="32"/>
        </w:rPr>
        <w:t>高层系次人才</w:t>
      </w:r>
      <w:proofErr w:type="gramEnd"/>
      <w:r w:rsidRPr="00316549">
        <w:rPr>
          <w:rFonts w:ascii="仿宋" w:eastAsia="仿宋" w:hAnsi="仿宋" w:hint="eastAsia"/>
          <w:sz w:val="32"/>
          <w:szCs w:val="32"/>
        </w:rPr>
        <w:t>规划、培养、</w:t>
      </w:r>
      <w:proofErr w:type="gramStart"/>
      <w:r w:rsidRPr="00316549">
        <w:rPr>
          <w:rFonts w:ascii="仿宋" w:eastAsia="仿宋" w:hAnsi="仿宋" w:hint="eastAsia"/>
          <w:sz w:val="32"/>
          <w:szCs w:val="32"/>
        </w:rPr>
        <w:t>选引进</w:t>
      </w:r>
      <w:proofErr w:type="gramEnd"/>
      <w:r w:rsidRPr="00316549">
        <w:rPr>
          <w:rFonts w:ascii="仿宋" w:eastAsia="仿宋" w:hAnsi="仿宋" w:hint="eastAsia"/>
          <w:sz w:val="32"/>
          <w:szCs w:val="32"/>
        </w:rPr>
        <w:t>和服务工作；承担相关职能部门派驻机构的协调服务工作；承办当地党委政府交办的其他工作。</w:t>
      </w:r>
    </w:p>
    <w:p w:rsidR="00073410" w:rsidRPr="00316549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 w:hint="eastAsia"/>
          <w:sz w:val="32"/>
          <w:szCs w:val="32"/>
        </w:rPr>
        <w:t>规划国土局（副科级）：拟定产业集聚区规划并组织实施；建立并管理土地收储等要素平台；负责编制产业集聚区土地利用总</w:t>
      </w:r>
      <w:r w:rsidRPr="00316549">
        <w:rPr>
          <w:rFonts w:ascii="仿宋" w:eastAsia="仿宋" w:hAnsi="仿宋" w:hint="eastAsia"/>
          <w:sz w:val="32"/>
          <w:szCs w:val="32"/>
        </w:rPr>
        <w:t>体规划和园区建设中长期发展规划并组织实施、监督管理；承担华龙区规划、国土等职能部门在产业集聚区内的相关职能。</w:t>
      </w:r>
    </w:p>
    <w:p w:rsidR="00073410" w:rsidRPr="00316549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 w:hint="eastAsia"/>
          <w:sz w:val="32"/>
          <w:szCs w:val="32"/>
        </w:rPr>
        <w:t>建设管理局（副科级）：建设管理基础设施和公共服务设施；负责工程项目建设管理、园林绿化、市政设施、房地产市场管理等工作；承担华龙区建设管理部门在产业集聚区的相关职能。</w:t>
      </w:r>
    </w:p>
    <w:p w:rsidR="00073410" w:rsidRPr="00316549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6549">
        <w:rPr>
          <w:rFonts w:ascii="仿宋" w:eastAsia="仿宋" w:hAnsi="仿宋" w:hint="eastAsia"/>
          <w:sz w:val="32"/>
          <w:szCs w:val="32"/>
        </w:rPr>
        <w:lastRenderedPageBreak/>
        <w:t>经济发展与招商服务局（副科级）：制定招商引资工作规划，拟定产业集聚区金融业发展规划；负责招商引资、承接产业转移和经济协作工作；组织开展项目引进工作；协助客商做好投资项目的筹建工作；联系各类金融机构，为入驻金融机构提供服务；建立并管理投融</w:t>
      </w:r>
      <w:r w:rsidRPr="00316549">
        <w:rPr>
          <w:rFonts w:ascii="仿宋" w:eastAsia="仿宋" w:hAnsi="仿宋" w:hint="eastAsia"/>
          <w:sz w:val="32"/>
          <w:szCs w:val="32"/>
        </w:rPr>
        <w:t>资、中小企业信用担保等要素平台；审核投资项目，按照规定权限进行备案和上报；优化企业生产经营环境，维护企业合法权益；培育和发展行业协会等中介组织。</w:t>
      </w:r>
    </w:p>
    <w:p w:rsidR="00073410" w:rsidRPr="00316549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316549">
        <w:rPr>
          <w:rFonts w:ascii="仿宋" w:eastAsia="仿宋" w:hAnsi="仿宋" w:hint="eastAsia"/>
          <w:sz w:val="32"/>
          <w:szCs w:val="32"/>
        </w:rPr>
        <w:t>濮</w:t>
      </w:r>
      <w:proofErr w:type="gramEnd"/>
      <w:r w:rsidRPr="00316549">
        <w:rPr>
          <w:rFonts w:ascii="仿宋" w:eastAsia="仿宋" w:hAnsi="仿宋" w:hint="eastAsia"/>
          <w:sz w:val="32"/>
          <w:szCs w:val="32"/>
        </w:rPr>
        <w:t>东龙湖广场管理办公室（股级事业单位）：负责龙湖广场基础设施、公共服务设施的管理与维护，龙湖广场的卫生管理，花草树木的管理与养护等。</w:t>
      </w:r>
    </w:p>
    <w:p w:rsidR="00073410" w:rsidRDefault="00316549">
      <w:pPr>
        <w:ind w:firstLineChars="200" w:firstLine="640"/>
        <w:rPr>
          <w:rFonts w:ascii="宋体"/>
          <w:sz w:val="32"/>
          <w:szCs w:val="32"/>
        </w:rPr>
      </w:pPr>
      <w:bookmarkStart w:id="0" w:name="_Hlk9407275"/>
      <w:r>
        <w:rPr>
          <w:rFonts w:ascii="仿宋" w:eastAsia="仿宋" w:hAnsi="仿宋" w:hint="eastAsia"/>
          <w:sz w:val="32"/>
          <w:szCs w:val="32"/>
        </w:rPr>
        <w:t>本部门</w:t>
      </w:r>
      <w:r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  <w:bookmarkEnd w:id="0"/>
    </w:p>
    <w:p w:rsidR="00073410" w:rsidRDefault="0007341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73410" w:rsidRDefault="007C7CC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第二部分</w:t>
      </w:r>
    </w:p>
    <w:p w:rsidR="00073410" w:rsidRDefault="007C7CC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/>
          <w:sz w:val="36"/>
          <w:szCs w:val="32"/>
        </w:rPr>
        <w:t>2019</w:t>
      </w:r>
      <w:r>
        <w:rPr>
          <w:rFonts w:ascii="黑体" w:eastAsia="黑体" w:hAnsi="黑体" w:hint="eastAsia"/>
          <w:sz w:val="36"/>
          <w:szCs w:val="32"/>
        </w:rPr>
        <w:t>年部门预算情况说明</w:t>
      </w:r>
    </w:p>
    <w:p w:rsidR="00073410" w:rsidRDefault="0007341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/>
          <w:sz w:val="32"/>
          <w:szCs w:val="32"/>
        </w:rPr>
        <w:t>1345.84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/>
          <w:sz w:val="32"/>
          <w:szCs w:val="32"/>
        </w:rPr>
        <w:t>1345.84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/>
          <w:sz w:val="32"/>
          <w:szCs w:val="32"/>
        </w:rPr>
        <w:t>1345.84</w:t>
      </w:r>
      <w:r>
        <w:rPr>
          <w:rFonts w:ascii="仿宋" w:eastAsia="仿宋" w:hAnsi="仿宋" w:hint="eastAsia"/>
          <w:sz w:val="32"/>
          <w:szCs w:val="32"/>
        </w:rPr>
        <w:t>万元，支出总</w:t>
      </w:r>
      <w:r>
        <w:rPr>
          <w:rFonts w:ascii="仿宋" w:eastAsia="仿宋" w:hAnsi="仿宋" w:hint="eastAsia"/>
          <w:sz w:val="32"/>
          <w:szCs w:val="32"/>
        </w:rPr>
        <w:lastRenderedPageBreak/>
        <w:t>计</w:t>
      </w:r>
      <w:r>
        <w:rPr>
          <w:rFonts w:ascii="仿宋" w:eastAsia="仿宋" w:hAnsi="仿宋"/>
          <w:sz w:val="32"/>
          <w:szCs w:val="32"/>
        </w:rPr>
        <w:t>1345.84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/>
          <w:sz w:val="32"/>
          <w:szCs w:val="32"/>
        </w:rPr>
        <w:t>370.84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/>
          <w:sz w:val="32"/>
          <w:szCs w:val="32"/>
        </w:rPr>
        <w:t>28%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/>
          <w:sz w:val="32"/>
          <w:szCs w:val="32"/>
        </w:rPr>
        <w:t>975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/>
          <w:sz w:val="32"/>
          <w:szCs w:val="32"/>
        </w:rPr>
        <w:t>72%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/>
          <w:sz w:val="32"/>
          <w:szCs w:val="32"/>
        </w:rPr>
        <w:t>872</w:t>
      </w:r>
      <w:r>
        <w:rPr>
          <w:rFonts w:ascii="仿宋" w:eastAsia="仿宋" w:hAnsi="仿宋" w:hint="eastAsia"/>
          <w:sz w:val="32"/>
          <w:szCs w:val="32"/>
        </w:rPr>
        <w:t>万元，增加</w:t>
      </w:r>
      <w:r>
        <w:rPr>
          <w:rFonts w:ascii="仿宋" w:eastAsia="仿宋" w:hAnsi="仿宋"/>
          <w:sz w:val="32"/>
          <w:szCs w:val="32"/>
        </w:rPr>
        <w:t>184.03%</w:t>
      </w:r>
      <w:r>
        <w:rPr>
          <w:rFonts w:ascii="仿宋" w:eastAsia="仿宋" w:hAnsi="仿宋" w:hint="eastAsia"/>
          <w:sz w:val="32"/>
          <w:szCs w:val="32"/>
        </w:rPr>
        <w:t>。主要原因是扩大基础设施建设。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73410" w:rsidRDefault="007C7CC8">
      <w:pPr>
        <w:widowControl/>
        <w:spacing w:line="59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/>
          <w:sz w:val="32"/>
          <w:szCs w:val="32"/>
        </w:rPr>
        <w:t>30.4</w:t>
      </w:r>
      <w:r>
        <w:rPr>
          <w:rFonts w:ascii="仿宋" w:eastAsia="仿宋" w:hAnsi="仿宋" w:hint="eastAsia"/>
          <w:sz w:val="32"/>
          <w:szCs w:val="32"/>
        </w:rPr>
        <w:t>万元，主要用于办公费、专用材料费、会议费、“三公”经费、维修费、培训费，物业费，比上年减少</w:t>
      </w:r>
      <w:r>
        <w:rPr>
          <w:rFonts w:ascii="仿宋" w:eastAsia="仿宋" w:hAnsi="仿宋"/>
          <w:sz w:val="32"/>
          <w:szCs w:val="32"/>
        </w:rPr>
        <w:t>76.4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/>
          <w:sz w:val="32"/>
          <w:szCs w:val="32"/>
        </w:rPr>
        <w:t>71.54%</w:t>
      </w:r>
      <w:r>
        <w:rPr>
          <w:rFonts w:ascii="仿宋" w:eastAsia="仿宋" w:hAnsi="仿宋" w:hint="eastAsia"/>
          <w:sz w:val="32"/>
          <w:szCs w:val="32"/>
        </w:rPr>
        <w:t>，主要原因是深入</w:t>
      </w:r>
      <w:proofErr w:type="gramStart"/>
      <w:r>
        <w:rPr>
          <w:rFonts w:ascii="仿宋" w:eastAsia="仿宋" w:hAnsi="仿宋" w:hint="eastAsia"/>
          <w:sz w:val="32"/>
          <w:szCs w:val="32"/>
        </w:rPr>
        <w:t>贯</w:t>
      </w:r>
      <w:proofErr w:type="gramEnd"/>
      <w:r>
        <w:rPr>
          <w:rFonts w:ascii="仿宋" w:eastAsia="仿宋" w:hAnsi="仿宋" w:hint="eastAsia"/>
          <w:sz w:val="32"/>
          <w:szCs w:val="32"/>
        </w:rPr>
        <w:t>切落实中央八项规定和厉行节约有关精神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万元，主要原因是严格执行相关规定，厉行勤俭节约，压减“三公”经费。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</w:t>
      </w:r>
      <w:bookmarkStart w:id="1" w:name="_Hlk527102369"/>
      <w:r>
        <w:rPr>
          <w:rFonts w:ascii="仿宋" w:eastAsia="仿宋" w:hAnsi="仿宋" w:hint="eastAsia"/>
          <w:sz w:val="32"/>
          <w:szCs w:val="32"/>
        </w:rPr>
        <w:t>购置及运行</w:t>
      </w:r>
      <w:bookmarkEnd w:id="1"/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年本部门无政府采购预算安排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073410" w:rsidRDefault="007C7CC8" w:rsidP="0031654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073410" w:rsidRDefault="007C7CC8">
      <w:pPr>
        <w:widowControl/>
        <w:spacing w:line="59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七、国有资产占用情况说明</w:t>
      </w:r>
    </w:p>
    <w:p w:rsidR="00073410" w:rsidRDefault="007C7CC8" w:rsidP="0031654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截止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年期末，濮阳市</w:t>
      </w:r>
      <w:proofErr w:type="gramStart"/>
      <w:r>
        <w:rPr>
          <w:rFonts w:ascii="仿宋" w:eastAsia="仿宋" w:hAnsi="仿宋" w:hint="eastAsia"/>
          <w:sz w:val="32"/>
          <w:szCs w:val="32"/>
        </w:rPr>
        <w:t>濮东产业</w:t>
      </w:r>
      <w:proofErr w:type="gramEnd"/>
      <w:r>
        <w:rPr>
          <w:rFonts w:ascii="仿宋" w:eastAsia="仿宋" w:hAnsi="仿宋" w:hint="eastAsia"/>
          <w:sz w:val="32"/>
          <w:szCs w:val="32"/>
        </w:rPr>
        <w:t>集聚区管理委员会共有车辆</w:t>
      </w:r>
      <w:r>
        <w:rPr>
          <w:rFonts w:ascii="仿宋" w:eastAsia="仿宋" w:hAnsi="仿宋" w:hint="eastAsia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辆，无其他用车；单位价值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073410" w:rsidRDefault="007C7CC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八、预算绩效管理工作开展情况说明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号）有关全面推进预算绩效管理导向方面要求，本部门牢固树立“讲绩效、重绩效、用绩效”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的绩效管理理念，年度预算申报时，针对政策及重点项目逐项设立并报送了预算绩效目标，努力建立健全以结果为导向的预算绩效管理工作机制。</w:t>
      </w:r>
    </w:p>
    <w:p w:rsidR="00073410" w:rsidRDefault="0007341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073410" w:rsidRDefault="007C7CC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第三部分</w:t>
      </w:r>
    </w:p>
    <w:p w:rsidR="00073410" w:rsidRDefault="007C7CC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名词解释</w:t>
      </w:r>
    </w:p>
    <w:p w:rsidR="00073410" w:rsidRDefault="0007341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73410" w:rsidRDefault="007C7CC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073410" w:rsidRDefault="007C7CC8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073410" w:rsidRDefault="007C7CC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073410" w:rsidRDefault="007C7CC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指除上述“财政拨款”、“事业收入”、“事业单位经营收入”、“附属单位上缴收入”等以外的收入。</w:t>
      </w:r>
    </w:p>
    <w:p w:rsidR="00073410" w:rsidRDefault="007C7CC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073410" w:rsidRDefault="007C7CC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073410" w:rsidRDefault="007C7CC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</w:t>
      </w:r>
      <w:r>
        <w:rPr>
          <w:rFonts w:ascii="仿宋" w:eastAsia="仿宋" w:hAnsi="仿宋" w:hint="eastAsia"/>
          <w:sz w:val="32"/>
          <w:szCs w:val="32"/>
        </w:rPr>
        <w:t>理费、公务用车运行维护费以及其他费用。</w:t>
      </w:r>
    </w:p>
    <w:p w:rsidR="00073410" w:rsidRDefault="007C7CC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073410" w:rsidRDefault="007C7C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073410" w:rsidRPr="00316549" w:rsidRDefault="007C7CC8">
      <w:pPr>
        <w:rPr>
          <w:rFonts w:ascii="黑体" w:eastAsia="黑体" w:hAnsi="黑体"/>
          <w:bCs/>
          <w:sz w:val="32"/>
          <w:szCs w:val="32"/>
        </w:rPr>
      </w:pPr>
      <w:r w:rsidRPr="00316549">
        <w:rPr>
          <w:rFonts w:ascii="黑体" w:eastAsia="黑体" w:hAnsi="黑体" w:hint="eastAsia"/>
          <w:bCs/>
          <w:sz w:val="32"/>
          <w:szCs w:val="32"/>
        </w:rPr>
        <w:lastRenderedPageBreak/>
        <w:t>附件：</w:t>
      </w:r>
      <w:r w:rsidR="00316549" w:rsidRPr="00316549">
        <w:rPr>
          <w:rFonts w:ascii="黑体" w:eastAsia="黑体" w:hAnsi="黑体" w:hint="eastAsia"/>
          <w:bCs/>
          <w:sz w:val="32"/>
          <w:szCs w:val="32"/>
        </w:rPr>
        <w:t>濮阳市</w:t>
      </w:r>
      <w:proofErr w:type="gramStart"/>
      <w:r w:rsidR="00316549" w:rsidRPr="00316549">
        <w:rPr>
          <w:rFonts w:ascii="黑体" w:eastAsia="黑体" w:hAnsi="黑体" w:hint="eastAsia"/>
          <w:bCs/>
          <w:sz w:val="32"/>
          <w:szCs w:val="32"/>
        </w:rPr>
        <w:t>濮东产业</w:t>
      </w:r>
      <w:proofErr w:type="gramEnd"/>
      <w:r w:rsidR="00316549" w:rsidRPr="00316549">
        <w:rPr>
          <w:rFonts w:ascii="黑体" w:eastAsia="黑体" w:hAnsi="黑体" w:hint="eastAsia"/>
          <w:bCs/>
          <w:sz w:val="32"/>
          <w:szCs w:val="32"/>
        </w:rPr>
        <w:t>集聚区管理委员会</w:t>
      </w:r>
      <w:r w:rsidRPr="00316549">
        <w:rPr>
          <w:rFonts w:ascii="黑体" w:eastAsia="黑体" w:hAnsi="黑体"/>
          <w:bCs/>
          <w:sz w:val="32"/>
          <w:szCs w:val="32"/>
        </w:rPr>
        <w:t>2019</w:t>
      </w:r>
      <w:r w:rsidRPr="00316549">
        <w:rPr>
          <w:rFonts w:ascii="黑体" w:eastAsia="黑体" w:hAnsi="黑体" w:hint="eastAsia"/>
          <w:bCs/>
          <w:sz w:val="32"/>
          <w:szCs w:val="32"/>
        </w:rPr>
        <w:t>年部门预算表（详见附表）</w:t>
      </w:r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部门收支总表</w:t>
      </w:r>
      <w:bookmarkStart w:id="2" w:name="_GoBack"/>
      <w:bookmarkEnd w:id="2"/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部门收入总表</w:t>
      </w:r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部门支出总表</w:t>
      </w:r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财政拨款收支总表</w:t>
      </w:r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一般公共预算支出表</w:t>
      </w:r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一般公共预算基本支出表</w:t>
      </w:r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一般公共预算“三公”经费支出表</w:t>
      </w:r>
    </w:p>
    <w:p w:rsidR="00073410" w:rsidRDefault="007C7CC8">
      <w:pPr>
        <w:numPr>
          <w:ilvl w:val="0"/>
          <w:numId w:val="1"/>
        </w:numPr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政府性基金预算支出表</w:t>
      </w:r>
    </w:p>
    <w:sectPr w:rsidR="00073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CC8" w:rsidRDefault="007C7CC8" w:rsidP="00316549">
      <w:r>
        <w:separator/>
      </w:r>
    </w:p>
  </w:endnote>
  <w:endnote w:type="continuationSeparator" w:id="0">
    <w:p w:rsidR="007C7CC8" w:rsidRDefault="007C7CC8" w:rsidP="0031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CC8" w:rsidRDefault="007C7CC8" w:rsidP="00316549">
      <w:r>
        <w:separator/>
      </w:r>
    </w:p>
  </w:footnote>
  <w:footnote w:type="continuationSeparator" w:id="0">
    <w:p w:rsidR="007C7CC8" w:rsidRDefault="007C7CC8" w:rsidP="00316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7E9EFB0"/>
    <w:multiLevelType w:val="singleLevel"/>
    <w:tmpl w:val="F7E9EFB0"/>
    <w:lvl w:ilvl="0">
      <w:start w:val="1"/>
      <w:numFmt w:val="chineseCounting"/>
      <w:suff w:val="nothing"/>
      <w:lvlText w:val="%1、"/>
      <w:lvlJc w:val="left"/>
      <w:pPr>
        <w:ind w:left="803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10"/>
    <w:rsid w:val="00073460"/>
    <w:rsid w:val="00073A1C"/>
    <w:rsid w:val="00083F78"/>
    <w:rsid w:val="00084BC7"/>
    <w:rsid w:val="000A120E"/>
    <w:rsid w:val="000A2622"/>
    <w:rsid w:val="000B0330"/>
    <w:rsid w:val="000B3E9F"/>
    <w:rsid w:val="000D10F2"/>
    <w:rsid w:val="000E11AD"/>
    <w:rsid w:val="000E2600"/>
    <w:rsid w:val="000F1EFE"/>
    <w:rsid w:val="000F620F"/>
    <w:rsid w:val="00107B25"/>
    <w:rsid w:val="00107BD0"/>
    <w:rsid w:val="0011394B"/>
    <w:rsid w:val="00117E91"/>
    <w:rsid w:val="0012037F"/>
    <w:rsid w:val="00133B0C"/>
    <w:rsid w:val="00160364"/>
    <w:rsid w:val="0017321F"/>
    <w:rsid w:val="0017490C"/>
    <w:rsid w:val="00177B2F"/>
    <w:rsid w:val="00184BAE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164BE"/>
    <w:rsid w:val="00220CDC"/>
    <w:rsid w:val="00221744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C6DD4"/>
    <w:rsid w:val="002D0E65"/>
    <w:rsid w:val="00300F5D"/>
    <w:rsid w:val="0031611D"/>
    <w:rsid w:val="00316549"/>
    <w:rsid w:val="00317017"/>
    <w:rsid w:val="00326DBC"/>
    <w:rsid w:val="003318E0"/>
    <w:rsid w:val="00340E1E"/>
    <w:rsid w:val="00343002"/>
    <w:rsid w:val="003452C1"/>
    <w:rsid w:val="00347A9C"/>
    <w:rsid w:val="00347F00"/>
    <w:rsid w:val="003527CA"/>
    <w:rsid w:val="0036547E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C32E8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567E"/>
    <w:rsid w:val="00456A2A"/>
    <w:rsid w:val="0046191C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431DE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2446A"/>
    <w:rsid w:val="00633ACD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75A"/>
    <w:rsid w:val="00747E1F"/>
    <w:rsid w:val="00765E2A"/>
    <w:rsid w:val="00782BE8"/>
    <w:rsid w:val="00782CE4"/>
    <w:rsid w:val="007A1AC1"/>
    <w:rsid w:val="007A2989"/>
    <w:rsid w:val="007A5110"/>
    <w:rsid w:val="007A7440"/>
    <w:rsid w:val="007B1B2E"/>
    <w:rsid w:val="007C2779"/>
    <w:rsid w:val="007C7CC8"/>
    <w:rsid w:val="007D24C5"/>
    <w:rsid w:val="007D4319"/>
    <w:rsid w:val="007D611A"/>
    <w:rsid w:val="007E0112"/>
    <w:rsid w:val="007E2749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752"/>
    <w:rsid w:val="00984AAA"/>
    <w:rsid w:val="00994FAB"/>
    <w:rsid w:val="00996862"/>
    <w:rsid w:val="009A2613"/>
    <w:rsid w:val="009B4C4C"/>
    <w:rsid w:val="009D0889"/>
    <w:rsid w:val="009E5D9B"/>
    <w:rsid w:val="00A01F6A"/>
    <w:rsid w:val="00A221C0"/>
    <w:rsid w:val="00A35377"/>
    <w:rsid w:val="00A37678"/>
    <w:rsid w:val="00A40FF9"/>
    <w:rsid w:val="00A53246"/>
    <w:rsid w:val="00A54BF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C3EAB"/>
    <w:rsid w:val="00AF0FB9"/>
    <w:rsid w:val="00B022C0"/>
    <w:rsid w:val="00B05446"/>
    <w:rsid w:val="00B23BF5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E62A8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E1125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4572"/>
    <w:rsid w:val="00D460EA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60"/>
    <w:rsid w:val="00E628C1"/>
    <w:rsid w:val="00E75FCE"/>
    <w:rsid w:val="00E772E4"/>
    <w:rsid w:val="00E8327B"/>
    <w:rsid w:val="00E83F8F"/>
    <w:rsid w:val="00E9136C"/>
    <w:rsid w:val="00E92BEC"/>
    <w:rsid w:val="00E933D0"/>
    <w:rsid w:val="00E93DA8"/>
    <w:rsid w:val="00E96C0E"/>
    <w:rsid w:val="00EA3EAC"/>
    <w:rsid w:val="00EB2414"/>
    <w:rsid w:val="00EB4212"/>
    <w:rsid w:val="00EB535D"/>
    <w:rsid w:val="00EC11F0"/>
    <w:rsid w:val="00EC3452"/>
    <w:rsid w:val="00ED6165"/>
    <w:rsid w:val="00EE2DC1"/>
    <w:rsid w:val="00EE41CF"/>
    <w:rsid w:val="00EE4D4B"/>
    <w:rsid w:val="00F027A0"/>
    <w:rsid w:val="00F06387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4D5B"/>
    <w:rsid w:val="00FB6183"/>
    <w:rsid w:val="00FC6401"/>
    <w:rsid w:val="00FD7E30"/>
    <w:rsid w:val="00FE715C"/>
    <w:rsid w:val="00FF2323"/>
    <w:rsid w:val="00FF3854"/>
    <w:rsid w:val="0DF510EF"/>
    <w:rsid w:val="13F20390"/>
    <w:rsid w:val="183068DE"/>
    <w:rsid w:val="21A425D1"/>
    <w:rsid w:val="40796676"/>
    <w:rsid w:val="42D3599C"/>
    <w:rsid w:val="5B2A375E"/>
    <w:rsid w:val="63B81A73"/>
    <w:rsid w:val="703808A1"/>
    <w:rsid w:val="7F4B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D38F6E"/>
  <w15:docId w15:val="{39C79A37-5E72-45B3-B9F2-C30AB12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7">
    <w:name w:val="Normal (Web)"/>
    <w:basedOn w:val="a"/>
    <w:uiPriority w:val="99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lenovo</cp:lastModifiedBy>
  <cp:revision>50</cp:revision>
  <dcterms:created xsi:type="dcterms:W3CDTF">2017-10-31T03:18:00Z</dcterms:created>
  <dcterms:modified xsi:type="dcterms:W3CDTF">2019-05-22T01:09:00Z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