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86B" w:rsidRDefault="0099386B">
      <w:pPr>
        <w:rPr>
          <w:rFonts w:ascii="方正小标宋_GBK" w:eastAsia="方正小标宋_GBK"/>
          <w:sz w:val="40"/>
        </w:rPr>
      </w:pPr>
    </w:p>
    <w:p w:rsidR="0099386B" w:rsidRDefault="0099386B">
      <w:pPr>
        <w:rPr>
          <w:rFonts w:ascii="方正小标宋_GBK" w:eastAsia="方正小标宋_GBK"/>
          <w:sz w:val="40"/>
        </w:rPr>
      </w:pPr>
    </w:p>
    <w:p w:rsidR="0099386B" w:rsidRDefault="0099386B">
      <w:pPr>
        <w:rPr>
          <w:rFonts w:ascii="方正小标宋_GBK" w:eastAsia="方正小标宋_GBK"/>
          <w:sz w:val="40"/>
        </w:rPr>
      </w:pPr>
    </w:p>
    <w:p w:rsidR="0099386B" w:rsidRDefault="00B14FF7">
      <w:pPr>
        <w:jc w:val="center"/>
        <w:rPr>
          <w:rFonts w:ascii="方正小标宋_GBK" w:eastAsia="方正小标宋_GBK"/>
          <w:w w:val="85"/>
          <w:sz w:val="56"/>
        </w:rPr>
      </w:pPr>
      <w:r>
        <w:rPr>
          <w:rFonts w:ascii="方正小标宋_GBK" w:eastAsia="方正小标宋_GBK" w:hint="eastAsia"/>
          <w:w w:val="85"/>
          <w:sz w:val="56"/>
        </w:rPr>
        <w:t>濮阳市华龙区</w:t>
      </w:r>
      <w:r>
        <w:rPr>
          <w:rFonts w:ascii="方正小标宋_GBK" w:eastAsia="方正小标宋_GBK" w:hint="eastAsia"/>
          <w:color w:val="000000" w:themeColor="text1"/>
          <w:w w:val="85"/>
          <w:sz w:val="56"/>
        </w:rPr>
        <w:t>人民法院</w:t>
      </w:r>
    </w:p>
    <w:p w:rsidR="0099386B" w:rsidRDefault="00B14FF7">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方正小标宋_GBK" w:eastAsia="方正小标宋_GBK"/>
          <w:sz w:val="40"/>
        </w:rPr>
      </w:pPr>
    </w:p>
    <w:p w:rsidR="0099386B" w:rsidRDefault="0099386B">
      <w:pPr>
        <w:jc w:val="center"/>
        <w:rPr>
          <w:rFonts w:ascii="楷体_GB2312" w:eastAsia="楷体_GB2312"/>
          <w:b/>
          <w:w w:val="90"/>
          <w:sz w:val="40"/>
        </w:rPr>
      </w:pPr>
    </w:p>
    <w:p w:rsidR="0099386B" w:rsidRDefault="00B14FF7">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99386B" w:rsidRDefault="00B14FF7">
      <w:pPr>
        <w:jc w:val="center"/>
        <w:rPr>
          <w:rFonts w:ascii="方正小标宋_GBK" w:eastAsia="方正小标宋_GBK"/>
          <w:sz w:val="32"/>
        </w:rPr>
      </w:pPr>
      <w:r>
        <w:rPr>
          <w:rFonts w:ascii="方正小标宋_GBK" w:eastAsia="方正小标宋_GBK"/>
          <w:sz w:val="32"/>
        </w:rPr>
        <w:br w:type="page"/>
      </w:r>
    </w:p>
    <w:p w:rsidR="0099386B" w:rsidRDefault="00B14FF7">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lastRenderedPageBreak/>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99386B" w:rsidRDefault="0099386B">
      <w:pPr>
        <w:pStyle w:val="a5"/>
        <w:topLinePunct/>
        <w:spacing w:before="0" w:beforeAutospacing="0" w:after="0" w:afterAutospacing="0" w:line="360" w:lineRule="auto"/>
        <w:jc w:val="center"/>
        <w:rPr>
          <w:rFonts w:ascii="黑体" w:eastAsia="黑体" w:hAnsi="黑体"/>
          <w:color w:val="000000"/>
          <w:sz w:val="36"/>
          <w:szCs w:val="32"/>
        </w:rPr>
      </w:pPr>
    </w:p>
    <w:p w:rsidR="0099386B" w:rsidRDefault="00B14FF7">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第一部分部门概况</w:t>
      </w:r>
      <w:r>
        <w:rPr>
          <w:rFonts w:hint="eastAsia"/>
          <w:color w:val="000000"/>
          <w:sz w:val="32"/>
          <w:szCs w:val="32"/>
        </w:rPr>
        <w:t> </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99386B" w:rsidRDefault="00B14FF7">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99386B" w:rsidRDefault="00B14FF7">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99386B" w:rsidRDefault="00B14FF7">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人民法院</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99386B" w:rsidRDefault="00B14FF7">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99386B" w:rsidRDefault="0099386B">
      <w:pPr>
        <w:ind w:firstLineChars="200" w:firstLine="640"/>
        <w:rPr>
          <w:rFonts w:ascii="黑体" w:eastAsia="黑体" w:hAnsi="黑体"/>
          <w:sz w:val="32"/>
          <w:szCs w:val="32"/>
        </w:rPr>
      </w:pPr>
    </w:p>
    <w:p w:rsidR="0099386B" w:rsidRDefault="00B14FF7">
      <w:pPr>
        <w:rPr>
          <w:rFonts w:ascii="黑体" w:eastAsia="黑体" w:hAnsi="黑体"/>
          <w:sz w:val="32"/>
          <w:szCs w:val="32"/>
        </w:rPr>
      </w:pPr>
      <w:r>
        <w:rPr>
          <w:rFonts w:ascii="黑体" w:eastAsia="黑体" w:hAnsi="黑体"/>
          <w:sz w:val="32"/>
          <w:szCs w:val="32"/>
        </w:rPr>
        <w:br w:type="page"/>
      </w:r>
    </w:p>
    <w:p w:rsidR="0099386B" w:rsidRDefault="0099386B">
      <w:pPr>
        <w:ind w:firstLineChars="200" w:firstLine="640"/>
        <w:rPr>
          <w:rFonts w:ascii="黑体" w:eastAsia="黑体" w:hAnsi="黑体"/>
          <w:sz w:val="32"/>
          <w:szCs w:val="32"/>
        </w:rPr>
      </w:pP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99386B" w:rsidRDefault="00B14FF7">
      <w:pPr>
        <w:ind w:firstLineChars="200" w:firstLine="640"/>
        <w:rPr>
          <w:rFonts w:ascii="黑体" w:eastAsia="黑体" w:hAnsi="黑体"/>
          <w:sz w:val="32"/>
          <w:szCs w:val="32"/>
        </w:rPr>
      </w:pPr>
      <w:r>
        <w:rPr>
          <w:rFonts w:ascii="黑体" w:eastAsia="黑体" w:hAnsi="黑体"/>
          <w:sz w:val="32"/>
          <w:szCs w:val="32"/>
        </w:rPr>
        <w:t> </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一、部门主要职责</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濮阳市华龙区人民法院</w:t>
      </w:r>
      <w:r w:rsidR="00102019">
        <w:rPr>
          <w:rFonts w:ascii="仿宋" w:eastAsia="仿宋" w:hAnsi="仿宋" w:hint="eastAsia"/>
          <w:sz w:val="32"/>
          <w:szCs w:val="32"/>
        </w:rPr>
        <w:t>是国家的审判机关，依法独立行使审判权，对华龙区人民代表大会及其</w:t>
      </w:r>
      <w:bookmarkStart w:id="0" w:name="_GoBack"/>
      <w:bookmarkEnd w:id="0"/>
      <w:r>
        <w:rPr>
          <w:rFonts w:ascii="仿宋" w:eastAsia="仿宋" w:hAnsi="仿宋" w:hint="eastAsia"/>
          <w:sz w:val="32"/>
          <w:szCs w:val="32"/>
        </w:rPr>
        <w:t>常务委员会负责并报告工作，接受华龙区人民代表大会及其常务委员会监督，其审判工作接受市中级人民法院的监督。其主要职责是：</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（一）依法审判法律规定的由濮阳市华龙区人民法院管辖的刑事、民事、行政等第一审案件。</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w:t>
      </w:r>
      <w:r>
        <w:rPr>
          <w:rFonts w:ascii="仿宋" w:eastAsia="仿宋" w:hAnsi="仿宋" w:hint="eastAsia"/>
          <w:sz w:val="32"/>
          <w:szCs w:val="32"/>
        </w:rPr>
        <w:t>二</w:t>
      </w:r>
      <w:r>
        <w:rPr>
          <w:rFonts w:ascii="仿宋" w:eastAsia="仿宋" w:hAnsi="仿宋" w:hint="eastAsia"/>
          <w:sz w:val="32"/>
          <w:szCs w:val="32"/>
        </w:rPr>
        <w:t>)</w:t>
      </w:r>
      <w:r>
        <w:rPr>
          <w:rFonts w:ascii="仿宋" w:eastAsia="仿宋" w:hAnsi="仿宋" w:hint="eastAsia"/>
          <w:sz w:val="32"/>
          <w:szCs w:val="32"/>
        </w:rPr>
        <w:t>依法审理不服华龙区法院</w:t>
      </w:r>
      <w:proofErr w:type="gramStart"/>
      <w:r>
        <w:rPr>
          <w:rFonts w:ascii="仿宋" w:eastAsia="仿宋" w:hAnsi="仿宋" w:hint="eastAsia"/>
          <w:sz w:val="32"/>
          <w:szCs w:val="32"/>
        </w:rPr>
        <w:t>作出</w:t>
      </w:r>
      <w:proofErr w:type="gramEnd"/>
      <w:r>
        <w:rPr>
          <w:rFonts w:ascii="仿宋" w:eastAsia="仿宋" w:hAnsi="仿宋" w:hint="eastAsia"/>
          <w:sz w:val="32"/>
          <w:szCs w:val="32"/>
        </w:rPr>
        <w:t>的发生法律效力的判决、裁定而提出的各类申诉和再审案件。</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（三）审判濮阳市华龙区人民检察院按照审判监督程序提起抗诉的上级人民法院指令华龙区法院审理的案件。</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（四）审判上级人民法院指定管辖的案件。</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（五）依法行使司法执行权和司法决定权。</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（六）针对案件审理中发现的问题提出司法建议。</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（七）负责本院政治思想、教育培训工作；按照权限管理法官和其他工作人员。</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（八）负责本院的纪检、监察工作。</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（九）管理本院的有关经费和物质装备。</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lastRenderedPageBreak/>
        <w:t>（十）负责管理本院事业单位。</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（十一）在审判工作中宣传法制，教育公民自觉遵守宪法和其它法律，遵守社会公德。</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二、机构设置情况</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濮阳市华龙区人民法院内设</w:t>
      </w:r>
      <w:r>
        <w:rPr>
          <w:rFonts w:ascii="仿宋" w:eastAsia="仿宋" w:hAnsi="仿宋" w:hint="eastAsia"/>
          <w:sz w:val="32"/>
          <w:szCs w:val="32"/>
        </w:rPr>
        <w:t>12</w:t>
      </w:r>
      <w:r>
        <w:rPr>
          <w:rFonts w:ascii="仿宋" w:eastAsia="仿宋" w:hAnsi="仿宋" w:hint="eastAsia"/>
          <w:sz w:val="32"/>
          <w:szCs w:val="32"/>
        </w:rPr>
        <w:t>个职能部门和政治处。纪检监察机构按照有关规定另行设置。有办公室、政治处、立案庭、刑事审判</w:t>
      </w:r>
      <w:r>
        <w:rPr>
          <w:rFonts w:ascii="仿宋" w:eastAsia="仿宋" w:hAnsi="仿宋" w:hint="eastAsia"/>
          <w:sz w:val="32"/>
          <w:szCs w:val="32"/>
        </w:rPr>
        <w:t>庭、少年案件审判庭、民事审判第一庭、民事审判第二庭、行政审判庭、执行局、司法警察大队、审判监督庭、研究室、监察室、审判管理办公室。三个派出基层法庭有中原法庭、孟轲法庭、胡村法庭。下属事业单位濮阳市华龙区审判庭管理服务中心一个。本部门经费实行全额预算管理。</w:t>
      </w:r>
    </w:p>
    <w:p w:rsidR="0099386B" w:rsidRDefault="0099386B">
      <w:pPr>
        <w:ind w:firstLineChars="200" w:firstLine="640"/>
        <w:rPr>
          <w:rFonts w:ascii="仿宋" w:eastAsia="仿宋" w:hAnsi="仿宋"/>
          <w:sz w:val="32"/>
          <w:szCs w:val="32"/>
        </w:rPr>
      </w:pPr>
    </w:p>
    <w:p w:rsidR="0099386B" w:rsidRDefault="0099386B">
      <w:pPr>
        <w:ind w:firstLineChars="200" w:firstLine="640"/>
        <w:rPr>
          <w:rFonts w:ascii="仿宋" w:eastAsia="仿宋" w:hAnsi="仿宋"/>
          <w:sz w:val="32"/>
          <w:szCs w:val="32"/>
        </w:rPr>
      </w:pPr>
    </w:p>
    <w:p w:rsidR="0099386B" w:rsidRDefault="0099386B">
      <w:pPr>
        <w:ind w:firstLineChars="200" w:firstLine="640"/>
        <w:rPr>
          <w:rFonts w:ascii="黑体" w:eastAsia="黑体" w:hAnsi="黑体"/>
          <w:sz w:val="32"/>
          <w:szCs w:val="32"/>
        </w:rPr>
      </w:pP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99386B" w:rsidRDefault="0099386B">
      <w:pPr>
        <w:ind w:firstLineChars="200" w:firstLine="640"/>
        <w:rPr>
          <w:rFonts w:ascii="华文仿宋" w:eastAsia="华文仿宋" w:hAnsi="华文仿宋"/>
          <w:sz w:val="32"/>
          <w:szCs w:val="32"/>
        </w:rPr>
      </w:pP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4071.96</w:t>
      </w:r>
      <w:r>
        <w:rPr>
          <w:rFonts w:ascii="仿宋" w:eastAsia="仿宋" w:hAnsi="仿宋" w:hint="eastAsia"/>
          <w:sz w:val="32"/>
          <w:szCs w:val="32"/>
        </w:rPr>
        <w:t>万元，支出总计</w:t>
      </w:r>
      <w:r>
        <w:rPr>
          <w:rFonts w:ascii="仿宋" w:eastAsia="仿宋" w:hAnsi="仿宋" w:hint="eastAsia"/>
          <w:sz w:val="32"/>
          <w:szCs w:val="32"/>
        </w:rPr>
        <w:t>4071.96</w:t>
      </w:r>
      <w:r>
        <w:rPr>
          <w:rFonts w:ascii="仿宋" w:eastAsia="仿宋" w:hAnsi="仿宋" w:hint="eastAsia"/>
          <w:sz w:val="32"/>
          <w:szCs w:val="32"/>
        </w:rPr>
        <w:t>万元。</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lastRenderedPageBreak/>
        <w:t>二、部门预算收支增减变</w:t>
      </w:r>
      <w:r>
        <w:rPr>
          <w:rFonts w:ascii="黑体" w:eastAsia="黑体" w:hAnsi="黑体" w:hint="eastAsia"/>
          <w:sz w:val="32"/>
          <w:szCs w:val="32"/>
        </w:rPr>
        <w:t>动情况</w:t>
      </w:r>
    </w:p>
    <w:p w:rsidR="0099386B" w:rsidRDefault="00B14FF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4071.96</w:t>
      </w:r>
      <w:r>
        <w:rPr>
          <w:rFonts w:ascii="仿宋" w:eastAsia="仿宋" w:hAnsi="仿宋" w:hint="eastAsia"/>
          <w:sz w:val="32"/>
          <w:szCs w:val="32"/>
        </w:rPr>
        <w:t>万元，支出总计</w:t>
      </w:r>
      <w:r>
        <w:rPr>
          <w:rFonts w:ascii="仿宋" w:eastAsia="仿宋" w:hAnsi="仿宋" w:hint="eastAsia"/>
          <w:sz w:val="32"/>
          <w:szCs w:val="32"/>
        </w:rPr>
        <w:t>4071.96</w:t>
      </w:r>
      <w:r>
        <w:rPr>
          <w:rFonts w:ascii="仿宋" w:eastAsia="仿宋" w:hAnsi="仿宋" w:hint="eastAsia"/>
          <w:sz w:val="32"/>
          <w:szCs w:val="32"/>
        </w:rPr>
        <w:t>万元。其中：基本支出</w:t>
      </w:r>
      <w:r>
        <w:rPr>
          <w:rFonts w:ascii="仿宋" w:eastAsia="仿宋" w:hAnsi="仿宋" w:hint="eastAsia"/>
          <w:sz w:val="32"/>
          <w:szCs w:val="32"/>
        </w:rPr>
        <w:t>1304.16</w:t>
      </w:r>
      <w:r>
        <w:rPr>
          <w:rFonts w:ascii="仿宋" w:eastAsia="仿宋" w:hAnsi="仿宋" w:hint="eastAsia"/>
          <w:sz w:val="32"/>
          <w:szCs w:val="32"/>
        </w:rPr>
        <w:t>万元，占比</w:t>
      </w:r>
      <w:r>
        <w:rPr>
          <w:rFonts w:ascii="仿宋" w:eastAsia="仿宋" w:hAnsi="仿宋" w:hint="eastAsia"/>
          <w:sz w:val="32"/>
          <w:szCs w:val="32"/>
        </w:rPr>
        <w:t>32%</w:t>
      </w:r>
      <w:r>
        <w:rPr>
          <w:rFonts w:ascii="仿宋" w:eastAsia="仿宋" w:hAnsi="仿宋" w:hint="eastAsia"/>
          <w:sz w:val="32"/>
          <w:szCs w:val="32"/>
        </w:rPr>
        <w:t>，项目支出</w:t>
      </w:r>
      <w:r>
        <w:rPr>
          <w:rFonts w:ascii="仿宋" w:eastAsia="仿宋" w:hAnsi="仿宋" w:hint="eastAsia"/>
          <w:sz w:val="32"/>
          <w:szCs w:val="32"/>
        </w:rPr>
        <w:t>2767.8</w:t>
      </w:r>
      <w:r>
        <w:rPr>
          <w:rFonts w:ascii="仿宋" w:eastAsia="仿宋" w:hAnsi="仿宋" w:hint="eastAsia"/>
          <w:sz w:val="32"/>
          <w:szCs w:val="32"/>
        </w:rPr>
        <w:t>万元，占比</w:t>
      </w:r>
      <w:r>
        <w:rPr>
          <w:rFonts w:ascii="仿宋" w:eastAsia="仿宋" w:hAnsi="仿宋" w:hint="eastAsia"/>
          <w:sz w:val="32"/>
          <w:szCs w:val="32"/>
        </w:rPr>
        <w:t>68%</w:t>
      </w:r>
      <w:r>
        <w:rPr>
          <w:rFonts w:ascii="仿宋" w:eastAsia="仿宋" w:hAnsi="仿宋" w:hint="eastAsia"/>
          <w:sz w:val="32"/>
          <w:szCs w:val="32"/>
        </w:rPr>
        <w:t>。</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年本部门财政预算较上年减少</w:t>
      </w:r>
      <w:r>
        <w:rPr>
          <w:rFonts w:ascii="仿宋" w:eastAsia="仿宋" w:hAnsi="仿宋" w:hint="eastAsia"/>
          <w:sz w:val="32"/>
          <w:szCs w:val="32"/>
        </w:rPr>
        <w:t>513.87</w:t>
      </w:r>
      <w:r>
        <w:rPr>
          <w:rFonts w:ascii="仿宋" w:eastAsia="仿宋" w:hAnsi="仿宋" w:hint="eastAsia"/>
          <w:sz w:val="32"/>
          <w:szCs w:val="32"/>
        </w:rPr>
        <w:t>万元，减少</w:t>
      </w:r>
      <w:r>
        <w:rPr>
          <w:rFonts w:ascii="仿宋" w:eastAsia="仿宋" w:hAnsi="仿宋" w:hint="eastAsia"/>
          <w:sz w:val="32"/>
          <w:szCs w:val="32"/>
        </w:rPr>
        <w:t>11.2</w:t>
      </w:r>
      <w:r>
        <w:rPr>
          <w:rFonts w:ascii="仿宋" w:eastAsia="仿宋" w:hAnsi="仿宋"/>
          <w:sz w:val="32"/>
          <w:szCs w:val="32"/>
        </w:rPr>
        <w:t>%</w:t>
      </w:r>
      <w:r>
        <w:rPr>
          <w:rFonts w:ascii="仿宋" w:eastAsia="仿宋" w:hAnsi="仿宋" w:hint="eastAsia"/>
          <w:sz w:val="32"/>
          <w:szCs w:val="32"/>
        </w:rPr>
        <w:t>。主要原因是用于基建项目的资金投入相应减少，故</w:t>
      </w:r>
      <w:r>
        <w:rPr>
          <w:rFonts w:ascii="仿宋" w:eastAsia="仿宋" w:hAnsi="仿宋" w:hint="eastAsia"/>
          <w:sz w:val="32"/>
          <w:szCs w:val="32"/>
        </w:rPr>
        <w:t>2019</w:t>
      </w:r>
      <w:r>
        <w:rPr>
          <w:rFonts w:ascii="仿宋" w:eastAsia="仿宋" w:hAnsi="仿宋" w:hint="eastAsia"/>
          <w:sz w:val="32"/>
          <w:szCs w:val="32"/>
        </w:rPr>
        <w:t>年安排的项目支出也就减少。</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99386B" w:rsidRDefault="00B14FF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32</w:t>
      </w:r>
      <w:r>
        <w:rPr>
          <w:rFonts w:ascii="仿宋" w:eastAsia="仿宋" w:hAnsi="仿宋" w:hint="eastAsia"/>
          <w:sz w:val="32"/>
          <w:szCs w:val="32"/>
        </w:rPr>
        <w:t>.</w:t>
      </w:r>
      <w:r>
        <w:rPr>
          <w:rFonts w:ascii="仿宋" w:eastAsia="仿宋" w:hAnsi="仿宋" w:hint="eastAsia"/>
          <w:sz w:val="32"/>
          <w:szCs w:val="32"/>
        </w:rPr>
        <w:t>2</w:t>
      </w:r>
      <w:r>
        <w:rPr>
          <w:rFonts w:ascii="仿宋" w:eastAsia="仿宋" w:hAnsi="仿宋" w:hint="eastAsia"/>
          <w:sz w:val="32"/>
          <w:szCs w:val="32"/>
        </w:rPr>
        <w:t>万元，主要用于办公费、印刷费、“三公”经费、差旅费、培训费、物业费，比上年减少</w:t>
      </w:r>
      <w:r>
        <w:rPr>
          <w:rFonts w:ascii="仿宋" w:eastAsia="仿宋" w:hAnsi="仿宋" w:hint="eastAsia"/>
          <w:sz w:val="32"/>
          <w:szCs w:val="32"/>
        </w:rPr>
        <w:t>0.8</w:t>
      </w:r>
      <w:r>
        <w:rPr>
          <w:rFonts w:ascii="仿宋" w:eastAsia="仿宋" w:hAnsi="仿宋" w:hint="eastAsia"/>
          <w:sz w:val="32"/>
          <w:szCs w:val="32"/>
        </w:rPr>
        <w:t>万元，减少</w:t>
      </w:r>
      <w:r>
        <w:rPr>
          <w:rFonts w:ascii="仿宋" w:eastAsia="仿宋" w:hAnsi="仿宋" w:hint="eastAsia"/>
          <w:sz w:val="32"/>
          <w:szCs w:val="32"/>
        </w:rPr>
        <w:t>2.4%</w:t>
      </w:r>
      <w:r>
        <w:rPr>
          <w:rFonts w:ascii="仿宋" w:eastAsia="仿宋" w:hAnsi="仿宋" w:hint="eastAsia"/>
          <w:sz w:val="32"/>
          <w:szCs w:val="32"/>
        </w:rPr>
        <w:t>，主要原因是深入贯彻落实中央八项规定和厉行节约有关精神。</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99386B" w:rsidRDefault="00B14FF7">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23.14</w:t>
      </w:r>
      <w:r>
        <w:rPr>
          <w:rFonts w:ascii="仿宋" w:eastAsia="仿宋" w:hAnsi="仿宋" w:hint="eastAsia"/>
          <w:sz w:val="32"/>
          <w:szCs w:val="32"/>
        </w:rPr>
        <w:t>万元，较上年减少</w:t>
      </w:r>
      <w:r>
        <w:rPr>
          <w:rFonts w:ascii="仿宋" w:eastAsia="仿宋" w:hAnsi="仿宋" w:hint="eastAsia"/>
          <w:sz w:val="32"/>
          <w:szCs w:val="32"/>
        </w:rPr>
        <w:t>0.46</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21.69</w:t>
      </w:r>
      <w:r>
        <w:rPr>
          <w:rFonts w:ascii="仿宋" w:eastAsia="仿宋" w:hAnsi="仿宋" w:hint="eastAsia"/>
          <w:sz w:val="32"/>
          <w:szCs w:val="32"/>
        </w:rPr>
        <w:t>万元，其中：公务用车购置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21.69</w:t>
      </w:r>
      <w:r>
        <w:rPr>
          <w:rFonts w:ascii="仿宋" w:eastAsia="仿宋" w:hAnsi="仿宋" w:hint="eastAsia"/>
          <w:sz w:val="32"/>
          <w:szCs w:val="32"/>
        </w:rPr>
        <w:t>万元。</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公务接待费</w:t>
      </w:r>
      <w:r>
        <w:rPr>
          <w:rFonts w:ascii="仿宋" w:eastAsia="仿宋" w:hAnsi="仿宋" w:hint="eastAsia"/>
          <w:sz w:val="32"/>
          <w:szCs w:val="32"/>
        </w:rPr>
        <w:t>1.45</w:t>
      </w:r>
      <w:r>
        <w:rPr>
          <w:rFonts w:ascii="仿宋" w:eastAsia="仿宋" w:hAnsi="仿宋" w:hint="eastAsia"/>
          <w:sz w:val="32"/>
          <w:szCs w:val="32"/>
        </w:rPr>
        <w:t>万元。</w:t>
      </w:r>
    </w:p>
    <w:p w:rsidR="0099386B" w:rsidRDefault="00B14FF7">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99386B" w:rsidRDefault="00B14FF7">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99386B" w:rsidRDefault="00B14FF7">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22</w:t>
      </w:r>
      <w:r>
        <w:rPr>
          <w:rFonts w:ascii="仿宋" w:eastAsia="仿宋" w:hAnsi="仿宋" w:hint="eastAsia"/>
          <w:sz w:val="32"/>
          <w:szCs w:val="32"/>
        </w:rPr>
        <w:t>辆，其中一般执法执勤用车</w:t>
      </w:r>
      <w:r>
        <w:rPr>
          <w:rFonts w:ascii="仿宋" w:eastAsia="仿宋" w:hAnsi="仿宋" w:hint="eastAsia"/>
          <w:sz w:val="32"/>
          <w:szCs w:val="32"/>
        </w:rPr>
        <w:t>20</w:t>
      </w:r>
      <w:r>
        <w:rPr>
          <w:rFonts w:ascii="仿宋" w:eastAsia="仿宋" w:hAnsi="仿宋" w:hint="eastAsia"/>
          <w:sz w:val="32"/>
          <w:szCs w:val="32"/>
        </w:rPr>
        <w:t>辆、特种专业技术用车</w:t>
      </w:r>
      <w:r>
        <w:rPr>
          <w:rFonts w:ascii="仿宋" w:eastAsia="仿宋" w:hAnsi="仿宋" w:hint="eastAsia"/>
          <w:sz w:val="32"/>
          <w:szCs w:val="32"/>
        </w:rPr>
        <w:t>2</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1</w:t>
      </w:r>
      <w:r>
        <w:rPr>
          <w:rFonts w:ascii="仿宋" w:eastAsia="仿宋" w:hAnsi="仿宋" w:hint="eastAsia"/>
          <w:sz w:val="32"/>
          <w:szCs w:val="32"/>
        </w:rPr>
        <w:t>台（套）。</w:t>
      </w:r>
    </w:p>
    <w:p w:rsidR="0099386B" w:rsidRDefault="00B14FF7">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w:t>
      </w:r>
      <w:r>
        <w:rPr>
          <w:rFonts w:ascii="仿宋" w:eastAsia="仿宋" w:hAnsi="仿宋" w:hint="eastAsia"/>
          <w:sz w:val="32"/>
          <w:szCs w:val="32"/>
        </w:rPr>
        <w:t>设立并报送了预算绩效目标，努力建立健全以结果为导向的预算绩效管理工作机制。</w:t>
      </w:r>
    </w:p>
    <w:p w:rsidR="0099386B" w:rsidRDefault="0099386B">
      <w:pPr>
        <w:ind w:firstLineChars="200" w:firstLine="640"/>
        <w:rPr>
          <w:rFonts w:ascii="黑体" w:eastAsia="黑体" w:hAnsi="黑体"/>
          <w:sz w:val="32"/>
          <w:szCs w:val="32"/>
        </w:rPr>
      </w:pPr>
    </w:p>
    <w:p w:rsidR="0099386B" w:rsidRDefault="0099386B">
      <w:pPr>
        <w:ind w:firstLineChars="200" w:firstLine="640"/>
        <w:rPr>
          <w:rFonts w:ascii="黑体" w:eastAsia="黑体" w:hAnsi="黑体"/>
          <w:sz w:val="32"/>
          <w:szCs w:val="32"/>
        </w:rPr>
      </w:pP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99386B" w:rsidRDefault="00B14FF7">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99386B" w:rsidRDefault="0099386B">
      <w:pPr>
        <w:ind w:firstLineChars="200" w:firstLine="640"/>
        <w:rPr>
          <w:rFonts w:ascii="仿宋" w:eastAsia="仿宋" w:hAnsi="仿宋"/>
          <w:sz w:val="32"/>
          <w:szCs w:val="32"/>
        </w:rPr>
      </w:pPr>
    </w:p>
    <w:p w:rsidR="0099386B" w:rsidRDefault="00B14FF7">
      <w:pPr>
        <w:ind w:firstLine="640"/>
        <w:rPr>
          <w:rFonts w:ascii="黑体" w:eastAsia="黑体" w:hAnsi="黑体"/>
          <w:sz w:val="32"/>
          <w:szCs w:val="32"/>
        </w:rPr>
      </w:pPr>
      <w:r>
        <w:rPr>
          <w:rFonts w:ascii="黑体" w:eastAsia="黑体" w:hAnsi="黑体" w:hint="eastAsia"/>
          <w:sz w:val="32"/>
          <w:szCs w:val="32"/>
        </w:rPr>
        <w:t>一、财政拨款收入</w:t>
      </w:r>
    </w:p>
    <w:p w:rsidR="0099386B" w:rsidRDefault="00B14FF7">
      <w:pPr>
        <w:ind w:firstLine="640"/>
        <w:rPr>
          <w:rFonts w:ascii="仿宋" w:eastAsia="仿宋" w:hAnsi="仿宋"/>
          <w:sz w:val="32"/>
          <w:szCs w:val="32"/>
        </w:rPr>
      </w:pPr>
      <w:r>
        <w:rPr>
          <w:rFonts w:ascii="仿宋" w:eastAsia="仿宋" w:hAnsi="仿宋" w:hint="eastAsia"/>
          <w:sz w:val="32"/>
          <w:szCs w:val="32"/>
        </w:rPr>
        <w:t>指本级财政当年拨付的资金。</w:t>
      </w:r>
    </w:p>
    <w:p w:rsidR="0099386B" w:rsidRDefault="00B14FF7">
      <w:pPr>
        <w:ind w:firstLine="640"/>
        <w:rPr>
          <w:rFonts w:ascii="黑体" w:eastAsia="黑体" w:hAnsi="黑体"/>
          <w:sz w:val="32"/>
          <w:szCs w:val="32"/>
        </w:rPr>
      </w:pPr>
      <w:r>
        <w:rPr>
          <w:rFonts w:ascii="黑体" w:eastAsia="黑体" w:hAnsi="黑体" w:hint="eastAsia"/>
          <w:sz w:val="32"/>
          <w:szCs w:val="32"/>
        </w:rPr>
        <w:lastRenderedPageBreak/>
        <w:t>二、事业收入</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99386B" w:rsidRDefault="00B14FF7">
      <w:pPr>
        <w:ind w:firstLine="640"/>
        <w:rPr>
          <w:rFonts w:ascii="黑体" w:eastAsia="黑体" w:hAnsi="黑体"/>
          <w:sz w:val="32"/>
          <w:szCs w:val="32"/>
        </w:rPr>
      </w:pPr>
      <w:r>
        <w:rPr>
          <w:rFonts w:ascii="黑体" w:eastAsia="黑体" w:hAnsi="黑体" w:hint="eastAsia"/>
          <w:sz w:val="32"/>
          <w:szCs w:val="32"/>
        </w:rPr>
        <w:t>三、其他收入</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99386B" w:rsidRDefault="00B14FF7">
      <w:pPr>
        <w:ind w:firstLine="640"/>
        <w:rPr>
          <w:rFonts w:ascii="黑体" w:eastAsia="黑体" w:hAnsi="黑体"/>
          <w:sz w:val="32"/>
          <w:szCs w:val="32"/>
        </w:rPr>
      </w:pPr>
      <w:r>
        <w:rPr>
          <w:rFonts w:ascii="黑体" w:eastAsia="黑体" w:hAnsi="黑体" w:hint="eastAsia"/>
          <w:sz w:val="32"/>
          <w:szCs w:val="32"/>
        </w:rPr>
        <w:t>四、基本支出</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99386B" w:rsidRDefault="00B14FF7">
      <w:pPr>
        <w:ind w:firstLine="640"/>
        <w:rPr>
          <w:rFonts w:ascii="黑体" w:eastAsia="黑体" w:hAnsi="黑体"/>
          <w:sz w:val="32"/>
          <w:szCs w:val="32"/>
        </w:rPr>
      </w:pPr>
      <w:r>
        <w:rPr>
          <w:rFonts w:ascii="黑体" w:eastAsia="黑体" w:hAnsi="黑体" w:hint="eastAsia"/>
          <w:sz w:val="32"/>
          <w:szCs w:val="32"/>
        </w:rPr>
        <w:t>五、项目支出</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99386B" w:rsidRDefault="00B14FF7">
      <w:pPr>
        <w:ind w:firstLine="640"/>
        <w:rPr>
          <w:rFonts w:ascii="黑体" w:eastAsia="黑体" w:hAnsi="黑体"/>
          <w:sz w:val="32"/>
          <w:szCs w:val="32"/>
        </w:rPr>
      </w:pPr>
      <w:r>
        <w:rPr>
          <w:rFonts w:ascii="黑体" w:eastAsia="黑体" w:hAnsi="黑体" w:hint="eastAsia"/>
          <w:sz w:val="32"/>
          <w:szCs w:val="32"/>
        </w:rPr>
        <w:t>六、机关运行经费</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99386B" w:rsidRDefault="00B14FF7">
      <w:pPr>
        <w:ind w:firstLine="640"/>
        <w:rPr>
          <w:rFonts w:ascii="黑体" w:eastAsia="黑体" w:hAnsi="黑体"/>
          <w:sz w:val="32"/>
          <w:szCs w:val="32"/>
        </w:rPr>
      </w:pPr>
      <w:r>
        <w:rPr>
          <w:rFonts w:ascii="黑体" w:eastAsia="黑体" w:hAnsi="黑体" w:hint="eastAsia"/>
          <w:sz w:val="32"/>
          <w:szCs w:val="32"/>
        </w:rPr>
        <w:t>七、“三公”经费</w:t>
      </w:r>
    </w:p>
    <w:p w:rsidR="0099386B" w:rsidRDefault="00B14FF7">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w:t>
      </w:r>
      <w:r>
        <w:rPr>
          <w:rFonts w:ascii="仿宋" w:eastAsia="仿宋" w:hAnsi="仿宋" w:hint="eastAsia"/>
          <w:sz w:val="32"/>
          <w:szCs w:val="32"/>
        </w:rPr>
        <w:lastRenderedPageBreak/>
        <w:t>行费指单位公务用车购置费</w:t>
      </w:r>
      <w:r>
        <w:rPr>
          <w:rFonts w:ascii="仿宋" w:eastAsia="仿宋" w:hAnsi="仿宋" w:hint="eastAsia"/>
          <w:sz w:val="32"/>
          <w:szCs w:val="32"/>
        </w:rPr>
        <w:t>及租用费、燃料费、维修费、过路过桥费、保险费、安全奖励费用等支出；公务接待费指单位按规定开支的各类接待支出。</w:t>
      </w:r>
    </w:p>
    <w:p w:rsidR="0099386B" w:rsidRDefault="0099386B">
      <w:pPr>
        <w:ind w:firstLineChars="200" w:firstLine="640"/>
        <w:rPr>
          <w:rFonts w:ascii="仿宋" w:eastAsia="仿宋" w:hAnsi="仿宋"/>
          <w:sz w:val="32"/>
          <w:szCs w:val="32"/>
        </w:rPr>
      </w:pPr>
    </w:p>
    <w:p w:rsidR="0099386B" w:rsidRDefault="00B14FF7">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附件：濮阳市华龙区</w:t>
      </w:r>
      <w:r>
        <w:rPr>
          <w:rFonts w:ascii="黑体" w:eastAsia="黑体" w:hAnsi="黑体" w:hint="eastAsia"/>
          <w:sz w:val="32"/>
          <w:szCs w:val="32"/>
        </w:rPr>
        <w:t>人民法院</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99386B" w:rsidRDefault="00B14FF7">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99386B" w:rsidRDefault="00B14FF7">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9938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FF7" w:rsidRDefault="00B14FF7" w:rsidP="00102019">
      <w:r>
        <w:separator/>
      </w:r>
    </w:p>
  </w:endnote>
  <w:endnote w:type="continuationSeparator" w:id="0">
    <w:p w:rsidR="00B14FF7" w:rsidRDefault="00B14FF7" w:rsidP="00102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FF7" w:rsidRDefault="00B14FF7" w:rsidP="00102019">
      <w:r>
        <w:separator/>
      </w:r>
    </w:p>
  </w:footnote>
  <w:footnote w:type="continuationSeparator" w:id="0">
    <w:p w:rsidR="00B14FF7" w:rsidRDefault="00B14FF7" w:rsidP="001020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1D"/>
    <w:rsid w:val="00002196"/>
    <w:rsid w:val="00004A5A"/>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02019"/>
    <w:rsid w:val="0011394B"/>
    <w:rsid w:val="00116512"/>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560D"/>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0143"/>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386B"/>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3C75"/>
    <w:rsid w:val="00B05446"/>
    <w:rsid w:val="00B14FF7"/>
    <w:rsid w:val="00B25A37"/>
    <w:rsid w:val="00B26A43"/>
    <w:rsid w:val="00B34B10"/>
    <w:rsid w:val="00B35225"/>
    <w:rsid w:val="00B3716C"/>
    <w:rsid w:val="00B46A15"/>
    <w:rsid w:val="00B46F19"/>
    <w:rsid w:val="00B60A81"/>
    <w:rsid w:val="00B66439"/>
    <w:rsid w:val="00B672B5"/>
    <w:rsid w:val="00B70367"/>
    <w:rsid w:val="00B705C6"/>
    <w:rsid w:val="00B71CE3"/>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1BF748A"/>
    <w:rsid w:val="05713F9B"/>
    <w:rsid w:val="086D47CB"/>
    <w:rsid w:val="0B77193B"/>
    <w:rsid w:val="0BCF1A7B"/>
    <w:rsid w:val="0C650C1B"/>
    <w:rsid w:val="0D87715E"/>
    <w:rsid w:val="0F904875"/>
    <w:rsid w:val="12C873D6"/>
    <w:rsid w:val="194B462B"/>
    <w:rsid w:val="1B0D0D70"/>
    <w:rsid w:val="1B8302FE"/>
    <w:rsid w:val="1C026128"/>
    <w:rsid w:val="1C210663"/>
    <w:rsid w:val="22453C5F"/>
    <w:rsid w:val="241577C3"/>
    <w:rsid w:val="26954340"/>
    <w:rsid w:val="2EF1777D"/>
    <w:rsid w:val="2F1577BF"/>
    <w:rsid w:val="372C6C61"/>
    <w:rsid w:val="38485131"/>
    <w:rsid w:val="38C63D7D"/>
    <w:rsid w:val="3B9C6D16"/>
    <w:rsid w:val="43EB4D58"/>
    <w:rsid w:val="48883738"/>
    <w:rsid w:val="49237C4F"/>
    <w:rsid w:val="4FF8561F"/>
    <w:rsid w:val="5248082C"/>
    <w:rsid w:val="571830FA"/>
    <w:rsid w:val="5C5E5071"/>
    <w:rsid w:val="5DFB5DB8"/>
    <w:rsid w:val="5EA77AB9"/>
    <w:rsid w:val="6068772A"/>
    <w:rsid w:val="67532A47"/>
    <w:rsid w:val="6D4A17C1"/>
    <w:rsid w:val="6DC02711"/>
    <w:rsid w:val="71085413"/>
    <w:rsid w:val="7AE33F7C"/>
    <w:rsid w:val="7C7A0C0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kern w:val="0"/>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qFormat/>
    <w:locked/>
    <w:rPr>
      <w:rFonts w:cs="Times New Roman"/>
      <w:sz w:val="18"/>
    </w:rPr>
  </w:style>
  <w:style w:type="character" w:customStyle="1" w:styleId="Char">
    <w:name w:val="页脚 Char"/>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16D33D-EF92-4C18-A111-2C707BAF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364</Words>
  <Characters>2077</Characters>
  <Application>Microsoft Office Word</Application>
  <DocSecurity>0</DocSecurity>
  <Lines>17</Lines>
  <Paragraphs>4</Paragraphs>
  <ScaleCrop>false</ScaleCrop>
  <Company/>
  <LinksUpToDate>false</LinksUpToDate>
  <CharactersWithSpaces>2437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56</cp:revision>
  <dcterms:created xsi:type="dcterms:W3CDTF">2017-10-31T03:18:00Z</dcterms:created>
  <dcterms:modified xsi:type="dcterms:W3CDTF">2019-05-17T08:05:00Z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