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_GBK" w:eastAsia="方正小标宋_GBK"/>
          <w:sz w:val="40"/>
        </w:rPr>
      </w:pPr>
    </w:p>
    <w:p>
      <w:pPr>
        <w:rPr>
          <w:rFonts w:ascii="方正小标宋_GBK" w:eastAsia="方正小标宋_GBK"/>
          <w:sz w:val="40"/>
        </w:rPr>
      </w:pPr>
    </w:p>
    <w:p>
      <w:pPr>
        <w:jc w:val="center"/>
        <w:rPr>
          <w:rFonts w:ascii="方正小标宋简体" w:hAnsi="方正小标宋简体" w:eastAsia="方正小标宋简体" w:cs="方正小标宋简体"/>
          <w:w w:val="85"/>
          <w:sz w:val="56"/>
        </w:rPr>
      </w:pPr>
      <w:r>
        <w:rPr>
          <w:rFonts w:hint="eastAsia" w:ascii="方正小标宋简体" w:hAnsi="方正小标宋简体" w:eastAsia="方正小标宋简体" w:cs="方正小标宋简体"/>
          <w:w w:val="85"/>
          <w:sz w:val="56"/>
        </w:rPr>
        <w:t>濮阳市濮东产业集聚区管理委员会</w:t>
      </w:r>
    </w:p>
    <w:p>
      <w:pPr>
        <w:jc w:val="center"/>
        <w:rPr>
          <w:rFonts w:ascii="方正小标宋简体" w:hAnsi="方正小标宋简体" w:eastAsia="方正小标宋简体" w:cs="方正小标宋简体"/>
          <w:spacing w:val="-20"/>
          <w:sz w:val="44"/>
        </w:rPr>
      </w:pPr>
      <w:r>
        <w:rPr>
          <w:rFonts w:hint="eastAsia" w:ascii="方正小标宋简体" w:hAnsi="方正小标宋简体" w:eastAsia="方正小标宋简体" w:cs="方正小标宋简体"/>
          <w:w w:val="85"/>
          <w:sz w:val="56"/>
        </w:rPr>
        <w:t>2020年部门预算公开说明</w:t>
      </w: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楷体_GB2312" w:eastAsia="楷体_GB2312"/>
          <w:b/>
          <w:w w:val="90"/>
          <w:sz w:val="40"/>
        </w:rPr>
      </w:pPr>
      <w:r>
        <w:rPr>
          <w:rFonts w:hint="eastAsia" w:ascii="楷体_GB2312" w:eastAsia="楷体_GB2312"/>
          <w:b/>
          <w:w w:val="90"/>
          <w:sz w:val="40"/>
        </w:rPr>
        <w:t>二</w:t>
      </w:r>
      <w:r>
        <w:rPr>
          <w:rFonts w:hint="eastAsia" w:ascii="宋体" w:hAnsi="宋体" w:cs="宋体"/>
          <w:b/>
          <w:w w:val="90"/>
          <w:sz w:val="40"/>
        </w:rPr>
        <w:t>〇</w:t>
      </w:r>
      <w:r>
        <w:rPr>
          <w:rFonts w:hint="eastAsia" w:ascii="楷体_GB2312" w:eastAsia="楷体_GB2312"/>
          <w:b/>
          <w:w w:val="90"/>
          <w:sz w:val="40"/>
        </w:rPr>
        <w:t>二</w:t>
      </w:r>
      <w:r>
        <w:rPr>
          <w:rFonts w:hint="eastAsia" w:ascii="宋体" w:hAnsi="宋体" w:cs="宋体"/>
          <w:b/>
          <w:w w:val="90"/>
          <w:sz w:val="40"/>
        </w:rPr>
        <w:t>〇</w:t>
      </w:r>
      <w:r>
        <w:rPr>
          <w:rFonts w:hint="eastAsia" w:ascii="楷体_GB2312" w:hAnsi="楷体_GB2312" w:eastAsia="楷体_GB2312" w:cs="楷体_GB2312"/>
          <w:b/>
          <w:w w:val="90"/>
          <w:sz w:val="40"/>
        </w:rPr>
        <w:t>年六月</w:t>
      </w:r>
    </w:p>
    <w:p>
      <w:pPr>
        <w:widowControl/>
        <w:jc w:val="left"/>
        <w:rPr>
          <w:rFonts w:ascii="黑体" w:hAnsi="黑体" w:eastAsia="黑体" w:cs="宋体"/>
          <w:color w:val="000000"/>
          <w:kern w:val="0"/>
          <w:sz w:val="44"/>
          <w:szCs w:val="32"/>
        </w:rPr>
      </w:pPr>
      <w:r>
        <w:rPr>
          <w:rFonts w:ascii="黑体" w:hAnsi="黑体" w:eastAsia="黑体"/>
          <w:color w:val="000000"/>
          <w:sz w:val="44"/>
          <w:szCs w:val="32"/>
        </w:rPr>
        <w:br w:type="page"/>
      </w:r>
    </w:p>
    <w:p>
      <w:pPr>
        <w:pStyle w:val="6"/>
        <w:topLinePunct/>
        <w:spacing w:before="0" w:beforeAutospacing="0" w:after="0" w:afterAutospacing="0" w:line="360" w:lineRule="auto"/>
        <w:ind w:firstLine="880"/>
        <w:jc w:val="center"/>
        <w:rPr>
          <w:rFonts w:ascii="黑体" w:hAnsi="黑体" w:eastAsia="黑体"/>
          <w:color w:val="000000"/>
          <w:sz w:val="44"/>
          <w:szCs w:val="32"/>
        </w:rPr>
      </w:pPr>
    </w:p>
    <w:p>
      <w:pPr>
        <w:pStyle w:val="6"/>
        <w:topLinePunct/>
        <w:spacing w:before="0" w:beforeAutospacing="0" w:after="0" w:afterAutospacing="0" w:line="360" w:lineRule="auto"/>
        <w:jc w:val="center"/>
        <w:rPr>
          <w:rFonts w:ascii="黑体" w:hAnsi="黑体" w:eastAsia="黑体"/>
          <w:color w:val="000000"/>
          <w:sz w:val="44"/>
          <w:szCs w:val="32"/>
        </w:rPr>
      </w:pPr>
      <w:r>
        <w:rPr>
          <w:rFonts w:hint="eastAsia" w:ascii="黑体" w:hAnsi="黑体" w:eastAsia="黑体"/>
          <w:color w:val="000000"/>
          <w:sz w:val="44"/>
          <w:szCs w:val="32"/>
        </w:rPr>
        <w:t>目 录</w:t>
      </w:r>
    </w:p>
    <w:p>
      <w:pPr>
        <w:pStyle w:val="6"/>
        <w:topLinePunct/>
        <w:spacing w:before="0" w:beforeAutospacing="0" w:after="0" w:afterAutospacing="0" w:line="360" w:lineRule="auto"/>
        <w:ind w:firstLine="720"/>
        <w:jc w:val="center"/>
        <w:rPr>
          <w:rFonts w:ascii="黑体" w:hAnsi="黑体" w:eastAsia="黑体"/>
          <w:color w:val="000000"/>
          <w:sz w:val="36"/>
          <w:szCs w:val="32"/>
        </w:rPr>
      </w:pPr>
    </w:p>
    <w:p>
      <w:pPr>
        <w:pStyle w:val="6"/>
        <w:overflowPunct w:val="0"/>
        <w:topLinePunct/>
        <w:spacing w:before="0" w:beforeAutospacing="0" w:after="0" w:afterAutospacing="0" w:line="360" w:lineRule="auto"/>
        <w:ind w:firstLine="640"/>
        <w:jc w:val="both"/>
        <w:rPr>
          <w:color w:val="000000"/>
        </w:rPr>
      </w:pPr>
      <w:r>
        <w:rPr>
          <w:rFonts w:hint="eastAsia" w:ascii="黑体" w:hAnsi="黑体" w:eastAsia="黑体"/>
          <w:color w:val="000000"/>
          <w:sz w:val="32"/>
          <w:szCs w:val="32"/>
        </w:rPr>
        <w:t>第一部分</w:t>
      </w:r>
      <w:r>
        <w:rPr>
          <w:rFonts w:hint="eastAsia"/>
          <w:color w:val="000000"/>
          <w:sz w:val="32"/>
          <w:szCs w:val="32"/>
        </w:rPr>
        <w:t xml:space="preserve"> </w:t>
      </w:r>
      <w:r>
        <w:rPr>
          <w:rFonts w:hint="eastAsia" w:ascii="黑体" w:hAnsi="黑体" w:eastAsia="黑体"/>
          <w:color w:val="000000"/>
          <w:sz w:val="32"/>
          <w:szCs w:val="32"/>
        </w:rPr>
        <w:t>部门概况</w:t>
      </w:r>
      <w:r>
        <w:rPr>
          <w:rFonts w:hint="eastAsia"/>
          <w:color w:val="000000"/>
          <w:sz w:val="32"/>
          <w:szCs w:val="32"/>
        </w:rPr>
        <w:t> </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一、部门主要职责</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二、机构设置情况</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第二部分 2020年部门预算情况说明</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第三部分 名词解释</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p>
    <w:p>
      <w:pPr>
        <w:pStyle w:val="6"/>
        <w:overflowPunct w:val="0"/>
        <w:topLinePunct/>
        <w:spacing w:before="0" w:beforeAutospacing="0" w:after="0" w:afterAutospacing="0" w:line="360" w:lineRule="auto"/>
        <w:ind w:firstLine="640"/>
        <w:jc w:val="both"/>
        <w:rPr>
          <w:color w:val="000000"/>
        </w:rPr>
      </w:pPr>
      <w:r>
        <w:rPr>
          <w:rFonts w:hint="eastAsia" w:ascii="黑体" w:hAnsi="黑体" w:eastAsia="黑体"/>
          <w:color w:val="000000"/>
          <w:sz w:val="32"/>
          <w:szCs w:val="32"/>
        </w:rPr>
        <w:t>附件：</w:t>
      </w:r>
      <w:r>
        <w:rPr>
          <w:rFonts w:hint="eastAsia" w:ascii="黑体" w:hAnsi="黑体" w:eastAsia="黑体"/>
          <w:sz w:val="32"/>
          <w:szCs w:val="32"/>
        </w:rPr>
        <w:t>濮阳市濮东产业集聚区管理委员会</w:t>
      </w:r>
      <w:r>
        <w:rPr>
          <w:rFonts w:hint="eastAsia" w:ascii="黑体" w:hAnsi="黑体" w:eastAsia="黑体"/>
          <w:color w:val="000000"/>
          <w:sz w:val="32"/>
          <w:szCs w:val="32"/>
        </w:rPr>
        <w:t>2020年部门预算表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一、部门收支总表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二、部门收入总表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三、部门支出总表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四、财政拨款收支总表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五、一般公共预算支出表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六、一般公共预算基本支出表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七、一般公共预算“三公”经费支出表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八、政府性基金预算支出表</w:t>
      </w:r>
    </w:p>
    <w:p>
      <w:pPr>
        <w:ind w:firstLine="640" w:firstLineChars="200"/>
        <w:rPr>
          <w:rFonts w:ascii="黑体" w:hAnsi="黑体" w:eastAsia="黑体"/>
          <w:szCs w:val="32"/>
        </w:rPr>
      </w:pPr>
    </w:p>
    <w:p>
      <w:pPr>
        <w:rPr>
          <w:rFonts w:ascii="黑体" w:hAnsi="黑体" w:eastAsia="黑体"/>
          <w:szCs w:val="32"/>
        </w:rPr>
      </w:pPr>
      <w:r>
        <w:rPr>
          <w:rFonts w:ascii="黑体" w:hAnsi="黑体" w:eastAsia="黑体"/>
          <w:szCs w:val="32"/>
        </w:rPr>
        <w:br w:type="page"/>
      </w: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第一部分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部门概况</w:t>
      </w:r>
    </w:p>
    <w:p>
      <w:pPr>
        <w:ind w:firstLine="640" w:firstLineChars="200"/>
        <w:rPr>
          <w:rFonts w:ascii="黑体" w:hAnsi="黑体" w:eastAsia="黑体"/>
          <w:szCs w:val="32"/>
        </w:rPr>
      </w:pPr>
      <w:r>
        <w:rPr>
          <w:rFonts w:ascii="黑体" w:hAnsi="黑体" w:eastAsia="黑体"/>
          <w:szCs w:val="32"/>
        </w:rPr>
        <w:t> </w:t>
      </w:r>
    </w:p>
    <w:p>
      <w:pPr>
        <w:ind w:firstLine="640" w:firstLineChars="200"/>
        <w:rPr>
          <w:rFonts w:ascii="黑体" w:hAnsi="黑体" w:eastAsia="黑体"/>
          <w:szCs w:val="32"/>
        </w:rPr>
      </w:pPr>
      <w:r>
        <w:rPr>
          <w:rFonts w:hint="eastAsia" w:ascii="黑体" w:hAnsi="黑体" w:eastAsia="黑体"/>
          <w:szCs w:val="32"/>
        </w:rPr>
        <w:t>一、部门主要职责</w:t>
      </w:r>
    </w:p>
    <w:p>
      <w:pPr>
        <w:ind w:firstLine="800" w:firstLineChars="250"/>
        <w:rPr>
          <w:rFonts w:ascii="宋体" w:hAnsi="宋体" w:cs="仿宋_GB2312"/>
          <w:szCs w:val="32"/>
        </w:rPr>
      </w:pPr>
      <w:r>
        <w:rPr>
          <w:rFonts w:hint="eastAsia" w:ascii="宋体" w:hAnsi="宋体" w:cs="仿宋_GB2312"/>
          <w:szCs w:val="32"/>
        </w:rPr>
        <w:t>1、拟定拟定产业集聚区规划并组织实施；</w:t>
      </w:r>
    </w:p>
    <w:p>
      <w:pPr>
        <w:ind w:firstLine="800" w:firstLineChars="250"/>
        <w:rPr>
          <w:rFonts w:ascii="宋体" w:hAnsi="宋体" w:cs="仿宋_GB2312"/>
          <w:szCs w:val="32"/>
        </w:rPr>
      </w:pPr>
      <w:r>
        <w:rPr>
          <w:rFonts w:hint="eastAsia" w:ascii="宋体" w:hAnsi="宋体" w:cs="仿宋_GB2312"/>
          <w:szCs w:val="32"/>
        </w:rPr>
        <w:t>2、建设管理基础设施和公共服务设施；</w:t>
      </w:r>
    </w:p>
    <w:p>
      <w:pPr>
        <w:ind w:firstLine="800" w:firstLineChars="250"/>
        <w:rPr>
          <w:rFonts w:ascii="宋体" w:hAnsi="宋体" w:cs="仿宋_GB2312"/>
          <w:szCs w:val="32"/>
        </w:rPr>
      </w:pPr>
      <w:r>
        <w:rPr>
          <w:rFonts w:hint="eastAsia" w:ascii="宋体" w:hAnsi="宋体" w:cs="仿宋_GB2312"/>
          <w:szCs w:val="32"/>
        </w:rPr>
        <w:t>3、招商引资、承接产业转移和经济协作；</w:t>
      </w:r>
    </w:p>
    <w:p>
      <w:pPr>
        <w:ind w:firstLine="800" w:firstLineChars="250"/>
        <w:rPr>
          <w:rFonts w:ascii="宋体" w:hAnsi="宋体" w:cs="仿宋_GB2312"/>
          <w:szCs w:val="32"/>
        </w:rPr>
      </w:pPr>
      <w:r>
        <w:rPr>
          <w:rFonts w:hint="eastAsia" w:ascii="宋体" w:hAnsi="宋体" w:cs="仿宋_GB2312"/>
          <w:szCs w:val="32"/>
        </w:rPr>
        <w:t>4、建立并管理投融资、土地收储、中小企业信用担保、人才等要素平台；</w:t>
      </w:r>
    </w:p>
    <w:p>
      <w:pPr>
        <w:ind w:firstLine="800" w:firstLineChars="250"/>
        <w:rPr>
          <w:rFonts w:ascii="宋体" w:hAnsi="宋体" w:cs="仿宋_GB2312"/>
          <w:szCs w:val="32"/>
        </w:rPr>
      </w:pPr>
      <w:r>
        <w:rPr>
          <w:rFonts w:hint="eastAsia" w:ascii="宋体" w:hAnsi="宋体" w:cs="仿宋_GB2312"/>
          <w:szCs w:val="32"/>
        </w:rPr>
        <w:t>5、审核投资项目，按照规定权限进行备案和上报；</w:t>
      </w:r>
    </w:p>
    <w:p>
      <w:pPr>
        <w:ind w:firstLine="800" w:firstLineChars="250"/>
        <w:rPr>
          <w:rFonts w:ascii="宋体" w:hAnsi="宋体" w:cs="仿宋_GB2312"/>
          <w:szCs w:val="32"/>
        </w:rPr>
      </w:pPr>
      <w:r>
        <w:rPr>
          <w:rFonts w:hint="eastAsia" w:ascii="宋体" w:hAnsi="宋体" w:cs="仿宋_GB2312"/>
          <w:szCs w:val="32"/>
        </w:rPr>
        <w:t>6、优化企业生产经营环境，维护企业合法权益；</w:t>
      </w:r>
    </w:p>
    <w:p>
      <w:pPr>
        <w:ind w:firstLine="800" w:firstLineChars="250"/>
        <w:rPr>
          <w:rFonts w:ascii="宋体" w:hAnsi="宋体" w:cs="仿宋_GB2312"/>
          <w:szCs w:val="32"/>
        </w:rPr>
      </w:pPr>
      <w:r>
        <w:rPr>
          <w:rFonts w:hint="eastAsia" w:ascii="宋体" w:hAnsi="宋体" w:cs="仿宋_GB2312"/>
          <w:szCs w:val="32"/>
        </w:rPr>
        <w:t>7、培育和发展行业协会等中介组织；</w:t>
      </w:r>
    </w:p>
    <w:p>
      <w:pPr>
        <w:ind w:firstLine="800" w:firstLineChars="250"/>
        <w:rPr>
          <w:rFonts w:ascii="宋体" w:hAnsi="宋体" w:cs="仿宋_GB2312"/>
          <w:szCs w:val="32"/>
        </w:rPr>
      </w:pPr>
      <w:r>
        <w:rPr>
          <w:rFonts w:hint="eastAsia" w:ascii="宋体" w:hAnsi="宋体" w:cs="仿宋_GB2312"/>
          <w:szCs w:val="32"/>
        </w:rPr>
        <w:t>8、承担相关职能部门派驻机构的协调服务工作；</w:t>
      </w:r>
    </w:p>
    <w:p>
      <w:pPr>
        <w:ind w:firstLine="800" w:firstLineChars="250"/>
        <w:rPr>
          <w:rFonts w:ascii="宋体" w:hAnsi="宋体" w:cs="仿宋_GB2312"/>
          <w:szCs w:val="32"/>
        </w:rPr>
      </w:pPr>
      <w:r>
        <w:rPr>
          <w:rFonts w:hint="eastAsia" w:ascii="宋体" w:hAnsi="宋体" w:cs="仿宋_GB2312"/>
          <w:szCs w:val="32"/>
        </w:rPr>
        <w:t>9、负责产业集聚区管理委员会干部的考核、晋升、调整和惩戒工作；</w:t>
      </w:r>
    </w:p>
    <w:p>
      <w:pPr>
        <w:ind w:firstLine="800" w:firstLineChars="250"/>
        <w:rPr>
          <w:rFonts w:ascii="宋体" w:hAnsi="宋体" w:cs="仿宋_GB2312"/>
          <w:szCs w:val="32"/>
        </w:rPr>
      </w:pPr>
      <w:r>
        <w:rPr>
          <w:rFonts w:hint="eastAsia" w:ascii="宋体" w:hAnsi="宋体" w:cs="仿宋_GB2312"/>
          <w:szCs w:val="32"/>
        </w:rPr>
        <w:t>10、承办当地党委政府交办的其他工作。</w:t>
      </w:r>
    </w:p>
    <w:p>
      <w:pPr>
        <w:ind w:firstLine="640" w:firstLineChars="200"/>
        <w:rPr>
          <w:rFonts w:ascii="黑体" w:hAnsi="黑体" w:eastAsia="黑体"/>
          <w:szCs w:val="32"/>
        </w:rPr>
      </w:pPr>
      <w:r>
        <w:rPr>
          <w:rFonts w:hint="eastAsia" w:ascii="黑体" w:hAnsi="黑体" w:eastAsia="黑体"/>
          <w:szCs w:val="32"/>
        </w:rPr>
        <w:t>二、机构设置情况</w:t>
      </w:r>
    </w:p>
    <w:p>
      <w:pPr>
        <w:ind w:firstLine="640" w:firstLineChars="200"/>
        <w:rPr>
          <w:rFonts w:ascii="宋体" w:cs="仿宋_GB2312"/>
          <w:szCs w:val="32"/>
        </w:rPr>
      </w:pPr>
      <w:r>
        <w:rPr>
          <w:rFonts w:hint="eastAsia" w:ascii="宋体" w:hAnsi="宋体" w:cs="仿宋_GB2312"/>
          <w:szCs w:val="32"/>
        </w:rPr>
        <w:t>根据工作职责及实际工作需要，经编委会研究决定，濮阳市濮东产业集聚区管理委员会机构规格为副处级，为区政府的派出机构，对产业区实行统一领导、同意规划、统一管理。</w:t>
      </w:r>
    </w:p>
    <w:p>
      <w:pPr>
        <w:ind w:firstLine="640" w:firstLineChars="200"/>
        <w:rPr>
          <w:rFonts w:ascii="宋体" w:cs="仿宋_GB2312"/>
          <w:szCs w:val="32"/>
        </w:rPr>
      </w:pPr>
      <w:r>
        <w:rPr>
          <w:rFonts w:hint="eastAsia" w:ascii="宋体" w:hAnsi="宋体" w:cs="仿宋_GB2312"/>
          <w:szCs w:val="32"/>
        </w:rPr>
        <w:t>按照“小机构、大服务”的管理模式和“精干、高效、统一”的原则，濮阳市濮东产业集聚区管理委员会分别设</w:t>
      </w:r>
      <w:r>
        <w:rPr>
          <w:rFonts w:ascii="宋体" w:hAnsi="宋体" w:cs="仿宋_GB2312"/>
          <w:szCs w:val="32"/>
        </w:rPr>
        <w:t>4</w:t>
      </w:r>
      <w:r>
        <w:rPr>
          <w:rFonts w:hint="eastAsia" w:ascii="宋体" w:hAnsi="宋体" w:cs="仿宋_GB2312"/>
          <w:szCs w:val="32"/>
        </w:rPr>
        <w:t>个副科级内设机构及</w:t>
      </w:r>
      <w:r>
        <w:rPr>
          <w:rFonts w:ascii="宋体" w:hAnsi="宋体" w:cs="仿宋_GB2312"/>
          <w:szCs w:val="32"/>
        </w:rPr>
        <w:t>2</w:t>
      </w:r>
      <w:r>
        <w:rPr>
          <w:rFonts w:hint="eastAsia" w:ascii="宋体" w:hAnsi="宋体" w:cs="仿宋_GB2312"/>
          <w:szCs w:val="32"/>
        </w:rPr>
        <w:t>个隶属濮东产业集聚区管委会领导的相当于股级事业单位，非独立核算。</w:t>
      </w:r>
    </w:p>
    <w:p>
      <w:pPr>
        <w:ind w:firstLine="640" w:firstLineChars="200"/>
        <w:rPr>
          <w:rFonts w:ascii="宋体" w:cs="仿宋_GB2312"/>
          <w:szCs w:val="32"/>
        </w:rPr>
      </w:pPr>
      <w:r>
        <w:rPr>
          <w:rFonts w:hint="eastAsia" w:ascii="宋体" w:hAnsi="宋体" w:cs="仿宋_GB2312"/>
          <w:szCs w:val="32"/>
        </w:rPr>
        <w:t>综合办公室（副科级）：负责产业集聚区管理委员会日常事务的综合协调工作；承办公文处理、纪要保密、文书档案、政策研究、会务接待、对外宣传和信息工作；负责机关财务和后勤管理工作；负责产业区管委会的组织、机构编制、人力资源和社会保障工作；负责产业区管理委员会干部的考核、晋升、调整和惩戒工作；负责高层系次人才规划、培养、选引进和服务工作；承担相关职能部门派驻机构的协调服务工作；承办当地党委政府交办的其他工作。</w:t>
      </w:r>
    </w:p>
    <w:p>
      <w:pPr>
        <w:ind w:firstLine="640" w:firstLineChars="200"/>
        <w:rPr>
          <w:rFonts w:ascii="宋体" w:eastAsia="宋体" w:cs="仿宋_GB2312"/>
          <w:szCs w:val="32"/>
        </w:rPr>
      </w:pPr>
      <w:r>
        <w:rPr>
          <w:rFonts w:hint="eastAsia" w:ascii="宋体" w:hAnsi="宋体" w:cs="仿宋_GB2312"/>
          <w:szCs w:val="32"/>
        </w:rPr>
        <w:t>规划国土局（副科级）：拟定产业集聚区规划并组织实施；建立并管理土地收储等要素平台；负责编制产业集聚区土地利用总体规划和园区建设中长期发展规划并组织实施、监督管理；承担华龙区规划、国土等职能部门在产业集聚区内的相关职能。</w:t>
      </w:r>
    </w:p>
    <w:p>
      <w:pPr>
        <w:ind w:firstLine="640" w:firstLineChars="200"/>
        <w:rPr>
          <w:rFonts w:ascii="宋体" w:cs="仿宋_GB2312"/>
          <w:szCs w:val="32"/>
        </w:rPr>
      </w:pPr>
      <w:r>
        <w:rPr>
          <w:rFonts w:hint="eastAsia" w:ascii="宋体" w:hAnsi="宋体" w:cs="仿宋_GB2312"/>
          <w:szCs w:val="32"/>
        </w:rPr>
        <w:t>建设管理局（副科级）：建设管理基础设施和公共服务设施；负责工程项目建设管理、园林绿化、市政设施、房地产市场管理等工作；承担华龙区建设管理部门在产业集聚区的相关职能。</w:t>
      </w:r>
    </w:p>
    <w:p>
      <w:pPr>
        <w:ind w:firstLine="640" w:firstLineChars="200"/>
        <w:rPr>
          <w:rFonts w:ascii="宋体" w:cs="仿宋_GB2312"/>
          <w:szCs w:val="32"/>
        </w:rPr>
      </w:pPr>
      <w:r>
        <w:rPr>
          <w:rFonts w:hint="eastAsia" w:ascii="宋体" w:hAnsi="宋体" w:cs="仿宋_GB2312"/>
          <w:szCs w:val="32"/>
        </w:rPr>
        <w:t>经济发展与招商服务局（副科级）：制定招商引资工作规划，拟定产业集聚区金融业发展规划；负责招商引资、承接产业转移和经济协作工作；组织开展项目引进工作；协助客商做好投资项目的筹建工作；联系各类金融机构，为入驻金融机构提供服务；建立并管理投融资、中小企业信用担保等要素平台；审核投资项目，按照规定权限进行备案和上报；优化企业生产经营环境，维护企业合法权益；培育和发展行业协会等中介组织。</w:t>
      </w:r>
    </w:p>
    <w:p>
      <w:pPr>
        <w:ind w:firstLine="640" w:firstLineChars="200"/>
        <w:rPr>
          <w:rFonts w:ascii="宋体"/>
          <w:b/>
          <w:szCs w:val="32"/>
        </w:rPr>
      </w:pPr>
      <w:r>
        <w:rPr>
          <w:rFonts w:hint="eastAsia" w:ascii="宋体" w:hAnsi="宋体" w:cs="仿宋_GB2312"/>
          <w:szCs w:val="32"/>
        </w:rPr>
        <w:t>濮东龙湖广场管理办公室（股级事业单位）：负责龙湖广场基础设施、公共服务设施的管理与维护，龙湖广场的卫生管理，花草树木的管理与养护等。</w:t>
      </w:r>
    </w:p>
    <w:p>
      <w:pPr>
        <w:ind w:firstLine="640" w:firstLineChars="200"/>
        <w:rPr>
          <w:rFonts w:ascii="仿宋" w:hAnsi="仿宋" w:eastAsia="仿宋"/>
          <w:szCs w:val="32"/>
        </w:rPr>
      </w:pPr>
      <w:r>
        <w:rPr>
          <w:rFonts w:hint="eastAsia" w:ascii="仿宋" w:hAnsi="仿宋" w:eastAsia="仿宋"/>
          <w:szCs w:val="32"/>
        </w:rPr>
        <w:t>本部门无独立核算的下属预算单位，部门本级预算即汇总预算。</w:t>
      </w: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第二部分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2020年部门预算情况说明</w:t>
      </w:r>
    </w:p>
    <w:p>
      <w:pPr>
        <w:ind w:firstLine="640" w:firstLineChars="200"/>
        <w:rPr>
          <w:rFonts w:ascii="华文仿宋" w:hAnsi="华文仿宋" w:eastAsia="华文仿宋"/>
          <w:szCs w:val="32"/>
        </w:rPr>
      </w:pPr>
    </w:p>
    <w:p>
      <w:pPr>
        <w:ind w:firstLine="640" w:firstLineChars="200"/>
        <w:rPr>
          <w:rFonts w:ascii="黑体" w:hAnsi="黑体" w:eastAsia="黑体"/>
          <w:szCs w:val="32"/>
        </w:rPr>
      </w:pPr>
      <w:r>
        <w:rPr>
          <w:rFonts w:hint="eastAsia" w:ascii="黑体" w:hAnsi="黑体" w:eastAsia="黑体"/>
          <w:szCs w:val="32"/>
        </w:rPr>
        <w:t>一、本级预算和所属单位预算在内的汇总预算总体情况</w:t>
      </w:r>
    </w:p>
    <w:p>
      <w:pPr>
        <w:ind w:firstLine="640" w:firstLineChars="200"/>
        <w:rPr>
          <w:rFonts w:ascii="仿宋" w:hAnsi="仿宋" w:eastAsia="仿宋"/>
          <w:szCs w:val="32"/>
        </w:rPr>
      </w:pPr>
      <w:r>
        <w:rPr>
          <w:rFonts w:hint="eastAsia" w:ascii="仿宋" w:hAnsi="仿宋" w:eastAsia="仿宋"/>
          <w:szCs w:val="32"/>
        </w:rPr>
        <w:t>本部门无独立核算的下属预算单位，部门本级预算即汇总预算。</w:t>
      </w:r>
      <w:r>
        <w:rPr>
          <w:rFonts w:ascii="仿宋" w:hAnsi="仿宋" w:eastAsia="仿宋"/>
          <w:szCs w:val="32"/>
        </w:rPr>
        <w:t>20</w:t>
      </w:r>
      <w:r>
        <w:rPr>
          <w:rFonts w:hint="eastAsia" w:ascii="仿宋" w:hAnsi="仿宋" w:eastAsia="仿宋"/>
          <w:szCs w:val="32"/>
        </w:rPr>
        <w:t>20年本部门预算收入总计635.45万元，支出总计635.45万元。</w:t>
      </w:r>
    </w:p>
    <w:p>
      <w:pPr>
        <w:ind w:firstLine="640" w:firstLineChars="200"/>
        <w:rPr>
          <w:rFonts w:ascii="黑体" w:hAnsi="黑体" w:eastAsia="黑体"/>
          <w:szCs w:val="32"/>
        </w:rPr>
      </w:pPr>
      <w:r>
        <w:rPr>
          <w:rFonts w:hint="eastAsia" w:ascii="黑体" w:hAnsi="黑体" w:eastAsia="黑体"/>
          <w:szCs w:val="32"/>
        </w:rPr>
        <w:t>二、部门预算收支增减变动情况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20年本部门预算收入总计635.45万元，支出总计635.45万元。其中：基本支出315.65万元，占比49.67%，项目支出319.8万元，占比50.33%。</w:t>
      </w:r>
    </w:p>
    <w:p>
      <w:pPr>
        <w:ind w:firstLine="640" w:firstLineChars="200"/>
        <w:rPr>
          <w:rFonts w:ascii="仿宋" w:hAnsi="仿宋" w:eastAsia="仿宋"/>
          <w:szCs w:val="32"/>
        </w:rPr>
      </w:pPr>
      <w:r>
        <w:rPr>
          <w:rFonts w:hint="eastAsia" w:ascii="仿宋" w:hAnsi="仿宋" w:eastAsia="仿宋"/>
          <w:szCs w:val="32"/>
        </w:rPr>
        <w:t>2020年本部门预算</w:t>
      </w:r>
      <w:r>
        <w:rPr>
          <w:rFonts w:hint="eastAsia" w:ascii="仿宋" w:hAnsi="仿宋" w:eastAsia="仿宋"/>
          <w:szCs w:val="32"/>
          <w:lang w:val="en-US" w:eastAsia="zh-CN"/>
        </w:rPr>
        <w:t>收入和支出均</w:t>
      </w:r>
      <w:r>
        <w:rPr>
          <w:rFonts w:hint="eastAsia" w:ascii="仿宋" w:hAnsi="仿宋" w:eastAsia="仿宋"/>
          <w:szCs w:val="32"/>
        </w:rPr>
        <w:t>较上年减少710.39万元，减少52.78</w:t>
      </w:r>
      <w:r>
        <w:rPr>
          <w:rFonts w:ascii="仿宋" w:hAnsi="仿宋" w:eastAsia="仿宋"/>
          <w:szCs w:val="32"/>
        </w:rPr>
        <w:t>%</w:t>
      </w:r>
      <w:r>
        <w:rPr>
          <w:rFonts w:hint="eastAsia" w:ascii="仿宋" w:hAnsi="仿宋" w:eastAsia="仿宋"/>
          <w:szCs w:val="32"/>
        </w:rPr>
        <w:t>，主要原因是根据工作实际以及全区财力情况压减部分项目支出。</w:t>
      </w:r>
    </w:p>
    <w:p>
      <w:pPr>
        <w:ind w:firstLine="640" w:firstLineChars="200"/>
        <w:rPr>
          <w:rFonts w:ascii="黑体" w:hAnsi="黑体" w:eastAsia="黑体"/>
          <w:szCs w:val="32"/>
        </w:rPr>
      </w:pPr>
      <w:r>
        <w:rPr>
          <w:rFonts w:hint="eastAsia" w:ascii="黑体" w:hAnsi="黑体" w:eastAsia="黑体"/>
          <w:szCs w:val="32"/>
        </w:rPr>
        <w:t>三、一般公共预算基本支出情况</w:t>
      </w:r>
    </w:p>
    <w:p>
      <w:pPr>
        <w:ind w:firstLine="640" w:firstLineChars="200"/>
        <w:rPr>
          <w:rFonts w:ascii="仿宋" w:hAnsi="仿宋" w:eastAsia="仿宋"/>
          <w:szCs w:val="32"/>
        </w:rPr>
      </w:pPr>
      <w:r>
        <w:rPr>
          <w:rFonts w:hint="eastAsia" w:ascii="仿宋" w:hAnsi="仿宋" w:eastAsia="仿宋"/>
          <w:szCs w:val="32"/>
        </w:rPr>
        <w:t>2020年本部门一般公共预算基本支出315.65万元，其中：人员经费286.85万元，主要包括：基本工资、津贴补贴、绩效工资、机关事业单位基本养老保险缴费、医疗保险缴费、其他社会保障缴费、住房公积金、其他对个人和家庭的补助支出；公用经费28.8万元，主要包括：办公费、培训费、公务用车运行维护费、其他商品和服务支出等。</w:t>
      </w:r>
    </w:p>
    <w:p>
      <w:pPr>
        <w:ind w:firstLine="640" w:firstLineChars="200"/>
        <w:rPr>
          <w:rFonts w:ascii="黑体" w:hAnsi="黑体" w:eastAsia="黑体"/>
          <w:szCs w:val="32"/>
        </w:rPr>
      </w:pPr>
      <w:r>
        <w:rPr>
          <w:rFonts w:hint="eastAsia" w:ascii="黑体" w:hAnsi="黑体" w:eastAsia="黑体"/>
          <w:szCs w:val="32"/>
        </w:rPr>
        <w:t>四、机关运行经费安排情况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机关运行经费安排28.8万元，主要用于保障机关机构正常运转及正常履职需要的办公费、培训费、公务用车运行维护费、其他商品和服务支出等，比上年减少1.6万元，减少5.26%，主要原因是人员调整，运行经费减少。</w:t>
      </w:r>
    </w:p>
    <w:p>
      <w:pPr>
        <w:ind w:firstLine="640" w:firstLineChars="200"/>
        <w:rPr>
          <w:rFonts w:ascii="黑体" w:hAnsi="黑体" w:eastAsia="黑体"/>
          <w:szCs w:val="32"/>
        </w:rPr>
      </w:pPr>
      <w:r>
        <w:rPr>
          <w:rFonts w:hint="eastAsia" w:ascii="黑体" w:hAnsi="黑体" w:eastAsia="黑体"/>
          <w:szCs w:val="32"/>
        </w:rPr>
        <w:t>五、“三公”经费安排情况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20年本部门“三公”经费预算10万元，与上年持平，主要原因是严格控制经费开支。</w:t>
      </w:r>
    </w:p>
    <w:p>
      <w:pPr>
        <w:ind w:firstLine="640" w:firstLineChars="200"/>
        <w:rPr>
          <w:rFonts w:ascii="仿宋" w:hAnsi="仿宋" w:eastAsia="仿宋"/>
          <w:szCs w:val="32"/>
        </w:rPr>
      </w:pPr>
      <w:r>
        <w:rPr>
          <w:rFonts w:hint="eastAsia" w:ascii="仿宋" w:hAnsi="仿宋" w:eastAsia="仿宋"/>
          <w:szCs w:val="32"/>
        </w:rPr>
        <w:t>1.因公出国（境）费0万元；</w:t>
      </w:r>
      <w:r>
        <w:rPr>
          <w:rFonts w:ascii="仿宋" w:hAnsi="仿宋" w:eastAsia="仿宋"/>
          <w:szCs w:val="32"/>
        </w:rPr>
        <w:t xml:space="preserve"> </w:t>
      </w:r>
    </w:p>
    <w:p>
      <w:pPr>
        <w:ind w:firstLine="640" w:firstLineChars="200"/>
        <w:rPr>
          <w:rFonts w:ascii="仿宋" w:hAnsi="仿宋" w:eastAsia="仿宋"/>
          <w:szCs w:val="32"/>
        </w:rPr>
      </w:pPr>
      <w:r>
        <w:rPr>
          <w:rFonts w:hint="eastAsia" w:ascii="仿宋" w:hAnsi="仿宋" w:eastAsia="仿宋"/>
          <w:szCs w:val="32"/>
        </w:rPr>
        <w:t>2.公务用车购置及运行费10万元，其中：公务用车购置0万元，公务用车运行费10万元。</w:t>
      </w:r>
    </w:p>
    <w:p>
      <w:pPr>
        <w:ind w:firstLine="640" w:firstLineChars="200"/>
        <w:rPr>
          <w:rFonts w:ascii="仿宋" w:hAnsi="仿宋" w:eastAsia="仿宋"/>
          <w:color w:val="FF0000"/>
          <w:szCs w:val="32"/>
        </w:rPr>
      </w:pPr>
      <w:r>
        <w:rPr>
          <w:rFonts w:hint="eastAsia" w:ascii="仿宋" w:hAnsi="仿宋" w:eastAsia="仿宋"/>
          <w:szCs w:val="32"/>
        </w:rPr>
        <w:t>3.公务接待费0万元。</w:t>
      </w:r>
    </w:p>
    <w:p>
      <w:pPr>
        <w:ind w:firstLine="640" w:firstLineChars="200"/>
        <w:rPr>
          <w:rFonts w:ascii="仿宋" w:hAnsi="仿宋" w:eastAsia="仿宋"/>
          <w:szCs w:val="32"/>
        </w:rPr>
      </w:pPr>
      <w:r>
        <w:rPr>
          <w:rFonts w:hint="eastAsia" w:ascii="黑体" w:hAnsi="黑体" w:eastAsia="黑体"/>
          <w:szCs w:val="32"/>
        </w:rPr>
        <w:t>六、政府采购安排情况</w:t>
      </w:r>
    </w:p>
    <w:p>
      <w:pPr>
        <w:ind w:firstLine="640" w:firstLineChars="200"/>
        <w:rPr>
          <w:rFonts w:ascii="仿宋" w:hAnsi="仿宋" w:eastAsia="仿宋"/>
          <w:color w:val="FF0000"/>
          <w:szCs w:val="32"/>
        </w:rPr>
      </w:pPr>
      <w:r>
        <w:rPr>
          <w:rFonts w:hint="eastAsia" w:ascii="仿宋" w:hAnsi="仿宋" w:eastAsia="仿宋"/>
          <w:szCs w:val="32"/>
        </w:rPr>
        <w:t>2020年本部门无政府采购预算安排。</w:t>
      </w:r>
    </w:p>
    <w:p>
      <w:pPr>
        <w:ind w:firstLine="640" w:firstLineChars="200"/>
        <w:rPr>
          <w:rFonts w:ascii="黑体" w:hAnsi="黑体" w:eastAsia="黑体"/>
          <w:szCs w:val="32"/>
        </w:rPr>
      </w:pPr>
      <w:r>
        <w:rPr>
          <w:rFonts w:hint="eastAsia" w:ascii="黑体" w:hAnsi="黑体" w:eastAsia="黑体"/>
          <w:szCs w:val="32"/>
        </w:rPr>
        <w:t>七、政府性基金预算安排情况</w:t>
      </w:r>
    </w:p>
    <w:p>
      <w:pPr>
        <w:ind w:firstLine="640" w:firstLineChars="200"/>
        <w:rPr>
          <w:rFonts w:ascii="仿宋" w:hAnsi="仿宋" w:eastAsia="仿宋"/>
          <w:szCs w:val="32"/>
        </w:rPr>
      </w:pPr>
      <w:r>
        <w:rPr>
          <w:rFonts w:hint="eastAsia" w:ascii="仿宋" w:hAnsi="仿宋" w:eastAsia="仿宋"/>
          <w:szCs w:val="32"/>
        </w:rPr>
        <w:t>本部门无政府性基金预算</w:t>
      </w:r>
      <w:r>
        <w:rPr>
          <w:rFonts w:hint="eastAsia" w:ascii="仿宋" w:hAnsi="仿宋" w:eastAsia="仿宋"/>
          <w:szCs w:val="32"/>
          <w:lang w:val="en-US" w:eastAsia="zh-CN"/>
        </w:rPr>
        <w:t>收支</w:t>
      </w:r>
      <w:r>
        <w:rPr>
          <w:rFonts w:hint="eastAsia" w:ascii="仿宋" w:hAnsi="仿宋" w:eastAsia="仿宋"/>
          <w:szCs w:val="32"/>
        </w:rPr>
        <w:t>安排</w:t>
      </w:r>
      <w:r>
        <w:rPr>
          <w:rFonts w:hint="eastAsia" w:ascii="仿宋" w:hAnsi="仿宋" w:eastAsia="仿宋"/>
          <w:szCs w:val="32"/>
          <w:lang w:eastAsia="zh-CN"/>
        </w:rPr>
        <w:t>，</w:t>
      </w:r>
      <w:r>
        <w:rPr>
          <w:rFonts w:hint="eastAsia" w:ascii="仿宋" w:hAnsi="仿宋" w:eastAsia="仿宋"/>
          <w:szCs w:val="32"/>
          <w:lang w:val="en-US" w:eastAsia="zh-CN"/>
        </w:rPr>
        <w:t>较上年无变动</w:t>
      </w:r>
      <w:bookmarkStart w:id="0" w:name="_GoBack"/>
      <w:bookmarkEnd w:id="0"/>
      <w:r>
        <w:rPr>
          <w:rFonts w:hint="eastAsia" w:ascii="仿宋" w:hAnsi="仿宋" w:eastAsia="仿宋"/>
          <w:szCs w:val="32"/>
        </w:rPr>
        <w:t>。</w:t>
      </w:r>
    </w:p>
    <w:p>
      <w:pPr>
        <w:ind w:firstLine="640" w:firstLineChars="200"/>
        <w:rPr>
          <w:rFonts w:ascii="黑体" w:hAnsi="黑体" w:eastAsia="黑体"/>
          <w:szCs w:val="32"/>
        </w:rPr>
      </w:pPr>
      <w:r>
        <w:rPr>
          <w:rFonts w:hint="eastAsia" w:ascii="黑体" w:hAnsi="黑体" w:eastAsia="黑体"/>
          <w:szCs w:val="32"/>
        </w:rPr>
        <w:t>八、</w:t>
      </w:r>
      <w:r>
        <w:rPr>
          <w:rFonts w:ascii="黑体" w:hAnsi="黑体" w:eastAsia="黑体"/>
          <w:szCs w:val="32"/>
        </w:rPr>
        <w:t>国有资产占用情况</w:t>
      </w:r>
    </w:p>
    <w:p>
      <w:pPr>
        <w:ind w:firstLine="640" w:firstLineChars="200"/>
        <w:rPr>
          <w:rFonts w:ascii="仿宋" w:hAnsi="仿宋" w:eastAsia="仿宋"/>
          <w:szCs w:val="32"/>
        </w:rPr>
      </w:pPr>
      <w:r>
        <w:rPr>
          <w:rFonts w:ascii="仿宋" w:hAnsi="仿宋" w:eastAsia="仿宋"/>
          <w:szCs w:val="32"/>
        </w:rPr>
        <w:t>截止201</w:t>
      </w:r>
      <w:r>
        <w:rPr>
          <w:rFonts w:hint="eastAsia" w:ascii="仿宋" w:hAnsi="仿宋" w:eastAsia="仿宋"/>
          <w:szCs w:val="32"/>
        </w:rPr>
        <w:t>9年末，本部门共有：房屋建筑物0（平方、间）；车辆13辆，其中：一般公务用车13辆、一般执法执勤用车0辆、特种专业技术用车0辆，其他用车0辆；单位价值</w:t>
      </w:r>
      <w:r>
        <w:rPr>
          <w:rFonts w:ascii="仿宋" w:hAnsi="仿宋" w:eastAsia="仿宋"/>
          <w:szCs w:val="32"/>
        </w:rPr>
        <w:t>50</w:t>
      </w:r>
      <w:r>
        <w:rPr>
          <w:rFonts w:hint="eastAsia" w:ascii="仿宋" w:hAnsi="仿宋" w:eastAsia="仿宋"/>
          <w:szCs w:val="32"/>
        </w:rPr>
        <w:t>万元以上通用设备0台（套），单位价值</w:t>
      </w:r>
      <w:r>
        <w:rPr>
          <w:rFonts w:ascii="仿宋" w:hAnsi="仿宋" w:eastAsia="仿宋"/>
          <w:szCs w:val="32"/>
        </w:rPr>
        <w:t>100</w:t>
      </w:r>
      <w:r>
        <w:rPr>
          <w:rFonts w:hint="eastAsia" w:ascii="仿宋" w:hAnsi="仿宋" w:eastAsia="仿宋"/>
          <w:szCs w:val="32"/>
        </w:rPr>
        <w:t>万元以上专用设备0台（套）。</w:t>
      </w:r>
    </w:p>
    <w:p>
      <w:pPr>
        <w:ind w:firstLine="640" w:firstLineChars="200"/>
        <w:rPr>
          <w:rFonts w:ascii="黑体" w:hAnsi="黑体" w:eastAsia="黑体"/>
          <w:szCs w:val="32"/>
        </w:rPr>
      </w:pPr>
      <w:r>
        <w:rPr>
          <w:rFonts w:hint="eastAsia" w:ascii="黑体" w:hAnsi="黑体" w:eastAsia="黑体"/>
          <w:szCs w:val="32"/>
        </w:rPr>
        <w:t>九、预算绩效管理工作开展情况</w:t>
      </w:r>
    </w:p>
    <w:p>
      <w:pPr>
        <w:ind w:firstLine="640" w:firstLineChars="200"/>
        <w:rPr>
          <w:rFonts w:ascii="仿宋" w:hAnsi="仿宋" w:eastAsia="仿宋"/>
          <w:szCs w:val="32"/>
        </w:rPr>
      </w:pPr>
      <w:r>
        <w:rPr>
          <w:rFonts w:hint="eastAsia" w:ascii="仿宋" w:hAnsi="仿宋" w:eastAsia="仿宋"/>
          <w:szCs w:val="32"/>
        </w:rPr>
        <w:t>按照《濮阳市华龙区财政局关于编制区级部门2020-2022年收支规划和2020年部门预算的通知》（华龙财〔2019〕108号）有关全面推进预算绩效管理方面的要求，本部门牢固树立“讲绩效、重绩效、用绩效”的绩效管理理念，年度预算申报时，针对政策及重点项目逐项设立并报送了预算绩效目标。</w:t>
      </w:r>
    </w:p>
    <w:p>
      <w:pPr>
        <w:widowControl/>
        <w:jc w:val="left"/>
        <w:rPr>
          <w:rFonts w:ascii="仿宋" w:hAnsi="仿宋" w:eastAsia="仿宋"/>
          <w:szCs w:val="32"/>
        </w:rPr>
      </w:pPr>
      <w:r>
        <w:rPr>
          <w:rFonts w:ascii="仿宋" w:hAnsi="仿宋" w:eastAsia="仿宋"/>
          <w:szCs w:val="32"/>
        </w:rPr>
        <w:br w:type="page"/>
      </w: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第三部分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名词解释</w:t>
      </w:r>
    </w:p>
    <w:p>
      <w:pPr>
        <w:ind w:firstLine="640" w:firstLineChars="200"/>
        <w:rPr>
          <w:rFonts w:ascii="仿宋" w:hAnsi="仿宋" w:eastAsia="仿宋"/>
          <w:szCs w:val="32"/>
        </w:rPr>
      </w:pPr>
    </w:p>
    <w:p>
      <w:pPr>
        <w:ind w:firstLine="640"/>
        <w:rPr>
          <w:rFonts w:ascii="黑体" w:hAnsi="黑体" w:eastAsia="黑体"/>
          <w:szCs w:val="32"/>
        </w:rPr>
      </w:pPr>
      <w:r>
        <w:rPr>
          <w:rFonts w:hint="eastAsia" w:ascii="黑体" w:hAnsi="黑体" w:eastAsia="黑体"/>
          <w:szCs w:val="32"/>
        </w:rPr>
        <w:t>一、财政拨款收入</w:t>
      </w:r>
    </w:p>
    <w:p>
      <w:pPr>
        <w:ind w:firstLine="640"/>
        <w:rPr>
          <w:rFonts w:ascii="仿宋" w:hAnsi="仿宋" w:eastAsia="仿宋"/>
          <w:szCs w:val="32"/>
        </w:rPr>
      </w:pPr>
      <w:r>
        <w:rPr>
          <w:rFonts w:hint="eastAsia" w:ascii="仿宋" w:hAnsi="仿宋" w:eastAsia="仿宋"/>
          <w:szCs w:val="32"/>
        </w:rPr>
        <w:t>指本级财政当年拨付的资金。</w:t>
      </w:r>
    </w:p>
    <w:p>
      <w:pPr>
        <w:ind w:firstLine="640"/>
        <w:rPr>
          <w:rFonts w:ascii="黑体" w:hAnsi="黑体" w:eastAsia="黑体"/>
          <w:szCs w:val="32"/>
        </w:rPr>
      </w:pPr>
      <w:r>
        <w:rPr>
          <w:rFonts w:hint="eastAsia" w:ascii="黑体" w:hAnsi="黑体" w:eastAsia="黑体"/>
          <w:szCs w:val="32"/>
        </w:rPr>
        <w:t>二、事业收入</w:t>
      </w:r>
    </w:p>
    <w:p>
      <w:pPr>
        <w:ind w:firstLine="640" w:firstLineChars="200"/>
        <w:rPr>
          <w:rFonts w:ascii="仿宋" w:hAnsi="仿宋" w:eastAsia="仿宋"/>
          <w:szCs w:val="32"/>
        </w:rPr>
      </w:pPr>
      <w:r>
        <w:rPr>
          <w:rFonts w:hint="eastAsia" w:ascii="仿宋" w:hAnsi="仿宋" w:eastAsia="仿宋"/>
          <w:szCs w:val="32"/>
        </w:rPr>
        <w:t>指事业单位开展专务活动及辅助所取得的收入。</w:t>
      </w:r>
    </w:p>
    <w:p>
      <w:pPr>
        <w:ind w:firstLine="640"/>
        <w:rPr>
          <w:rFonts w:ascii="黑体" w:hAnsi="黑体" w:eastAsia="黑体"/>
          <w:szCs w:val="32"/>
        </w:rPr>
      </w:pPr>
      <w:r>
        <w:rPr>
          <w:rFonts w:hint="eastAsia" w:ascii="黑体" w:hAnsi="黑体" w:eastAsia="黑体"/>
          <w:szCs w:val="32"/>
        </w:rPr>
        <w:t>三、其他收入</w:t>
      </w:r>
    </w:p>
    <w:p>
      <w:pPr>
        <w:ind w:firstLine="640" w:firstLineChars="200"/>
        <w:rPr>
          <w:rFonts w:ascii="仿宋" w:hAnsi="仿宋" w:eastAsia="仿宋"/>
          <w:szCs w:val="32"/>
        </w:rPr>
      </w:pPr>
      <w:r>
        <w:rPr>
          <w:rFonts w:hint="eastAsia" w:ascii="仿宋" w:hAnsi="仿宋" w:eastAsia="仿宋"/>
          <w:szCs w:val="32"/>
        </w:rPr>
        <w:t>指除“财政拨款”、“事业收入”、“事业单位经营收入”、“附属单位上缴收入”等以外的收入。</w:t>
      </w:r>
    </w:p>
    <w:p>
      <w:pPr>
        <w:ind w:firstLine="640"/>
        <w:rPr>
          <w:rFonts w:ascii="黑体" w:hAnsi="黑体" w:eastAsia="黑体"/>
          <w:szCs w:val="32"/>
        </w:rPr>
      </w:pPr>
      <w:r>
        <w:rPr>
          <w:rFonts w:hint="eastAsia" w:ascii="黑体" w:hAnsi="黑体" w:eastAsia="黑体"/>
          <w:szCs w:val="32"/>
        </w:rPr>
        <w:t>四、基本支出</w:t>
      </w:r>
    </w:p>
    <w:p>
      <w:pPr>
        <w:ind w:firstLine="640" w:firstLineChars="200"/>
        <w:rPr>
          <w:rFonts w:ascii="仿宋" w:hAnsi="仿宋" w:eastAsia="仿宋"/>
          <w:szCs w:val="32"/>
        </w:rPr>
      </w:pPr>
      <w:r>
        <w:rPr>
          <w:rFonts w:hint="eastAsia" w:ascii="仿宋" w:hAnsi="仿宋" w:eastAsia="仿宋"/>
          <w:szCs w:val="32"/>
        </w:rPr>
        <w:t>指为保障机构正常运转、完成日常工作任务所必需的开支，其内容包括人员经费和日常公用经费两部分。</w:t>
      </w:r>
    </w:p>
    <w:p>
      <w:pPr>
        <w:ind w:firstLine="640"/>
        <w:rPr>
          <w:rFonts w:ascii="黑体" w:hAnsi="黑体" w:eastAsia="黑体"/>
          <w:szCs w:val="32"/>
        </w:rPr>
      </w:pPr>
      <w:r>
        <w:rPr>
          <w:rFonts w:hint="eastAsia" w:ascii="黑体" w:hAnsi="黑体" w:eastAsia="黑体"/>
          <w:szCs w:val="32"/>
        </w:rPr>
        <w:t>五、项目支出</w:t>
      </w:r>
    </w:p>
    <w:p>
      <w:pPr>
        <w:ind w:firstLine="640" w:firstLineChars="200"/>
        <w:rPr>
          <w:rFonts w:ascii="仿宋" w:hAnsi="仿宋" w:eastAsia="仿宋"/>
          <w:szCs w:val="32"/>
        </w:rPr>
      </w:pPr>
      <w:r>
        <w:rPr>
          <w:rFonts w:hint="eastAsia" w:ascii="仿宋" w:hAnsi="仿宋" w:eastAsia="仿宋"/>
          <w:szCs w:val="32"/>
        </w:rPr>
        <w:t>指在基本支出之外，为完成特定的行政工作任务或事业发展目标所发生的支出。</w:t>
      </w:r>
    </w:p>
    <w:p>
      <w:pPr>
        <w:ind w:firstLine="640"/>
        <w:rPr>
          <w:rFonts w:ascii="黑体" w:hAnsi="黑体" w:eastAsia="黑体"/>
          <w:szCs w:val="32"/>
        </w:rPr>
      </w:pPr>
      <w:r>
        <w:rPr>
          <w:rFonts w:hint="eastAsia" w:ascii="黑体" w:hAnsi="黑体" w:eastAsia="黑体"/>
          <w:szCs w:val="32"/>
        </w:rPr>
        <w:t>六、机关运行经费</w:t>
      </w:r>
    </w:p>
    <w:p>
      <w:pPr>
        <w:ind w:firstLine="640" w:firstLineChars="200"/>
        <w:rPr>
          <w:rFonts w:ascii="仿宋" w:hAnsi="仿宋" w:eastAsia="仿宋"/>
          <w:szCs w:val="32"/>
        </w:rPr>
      </w:pPr>
      <w:r>
        <w:rPr>
          <w:rFonts w:hint="eastAsia" w:ascii="仿宋" w:hAnsi="仿宋" w:eastAsia="仿宋"/>
          <w:szCs w:val="32"/>
        </w:rPr>
        <w:t>指为保障行政单位（含参照公务员法管理的事业单位）正常运转及正常履职需要的支出，包括办公费、印刷费、“三公”经费、差旅费、会议费、日常维修费、办公用房水电费、办公用房取暖费、办公用房物业管理费、公务用车运行维护费以及其他费用。</w:t>
      </w:r>
    </w:p>
    <w:p>
      <w:pPr>
        <w:ind w:firstLine="640"/>
        <w:rPr>
          <w:rFonts w:ascii="黑体" w:hAnsi="黑体" w:eastAsia="黑体"/>
          <w:szCs w:val="32"/>
        </w:rPr>
      </w:pPr>
      <w:r>
        <w:rPr>
          <w:rFonts w:hint="eastAsia" w:ascii="黑体" w:hAnsi="黑体" w:eastAsia="黑体"/>
          <w:szCs w:val="32"/>
        </w:rPr>
        <w:t>七、“三公”经费</w:t>
      </w:r>
    </w:p>
    <w:p>
      <w:pPr>
        <w:ind w:firstLine="640" w:firstLineChars="200"/>
        <w:rPr>
          <w:rFonts w:ascii="仿宋" w:hAnsi="仿宋" w:eastAsia="仿宋"/>
          <w:szCs w:val="32"/>
        </w:rPr>
      </w:pPr>
      <w:r>
        <w:rPr>
          <w:rFonts w:hint="eastAsia" w:ascii="仿宋" w:hAnsi="仿宋" w:eastAsia="仿宋"/>
          <w:szCs w:val="32"/>
        </w:rPr>
        <w:t>指纳入本级财政预决算管理，本级部门使用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接待支出。</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方正小标宋简体">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- 10 -</w:t>
                          </w:r>
                          <w:r>
                            <w:rPr>
                              <w:rFonts w:hint="eastAsia"/>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- 10 -</w:t>
                    </w:r>
                    <w:r>
                      <w:rPr>
                        <w:rFonts w:hint="eastAsia"/>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FAC"/>
    <w:rsid w:val="000B392C"/>
    <w:rsid w:val="00125FAC"/>
    <w:rsid w:val="00127F6F"/>
    <w:rsid w:val="00162A29"/>
    <w:rsid w:val="001852DE"/>
    <w:rsid w:val="001965F5"/>
    <w:rsid w:val="00196E05"/>
    <w:rsid w:val="001B31A3"/>
    <w:rsid w:val="00207623"/>
    <w:rsid w:val="0024750C"/>
    <w:rsid w:val="002A397A"/>
    <w:rsid w:val="00334DFB"/>
    <w:rsid w:val="00377211"/>
    <w:rsid w:val="003838FD"/>
    <w:rsid w:val="003C0C15"/>
    <w:rsid w:val="004A3479"/>
    <w:rsid w:val="004E79D5"/>
    <w:rsid w:val="0051511D"/>
    <w:rsid w:val="00566C86"/>
    <w:rsid w:val="00583109"/>
    <w:rsid w:val="005C4BFD"/>
    <w:rsid w:val="005E427E"/>
    <w:rsid w:val="0060448E"/>
    <w:rsid w:val="00612ECF"/>
    <w:rsid w:val="007C5FD2"/>
    <w:rsid w:val="00845860"/>
    <w:rsid w:val="008A08E8"/>
    <w:rsid w:val="008A2F34"/>
    <w:rsid w:val="008D7DD2"/>
    <w:rsid w:val="008E57A8"/>
    <w:rsid w:val="00925F66"/>
    <w:rsid w:val="00975602"/>
    <w:rsid w:val="00976444"/>
    <w:rsid w:val="009A1FE2"/>
    <w:rsid w:val="009B0F6B"/>
    <w:rsid w:val="009D4942"/>
    <w:rsid w:val="00A02B5D"/>
    <w:rsid w:val="00B62460"/>
    <w:rsid w:val="00BC0D2F"/>
    <w:rsid w:val="00C15DCD"/>
    <w:rsid w:val="00C56A03"/>
    <w:rsid w:val="00D56ECE"/>
    <w:rsid w:val="00DA4FD4"/>
    <w:rsid w:val="00DF06AF"/>
    <w:rsid w:val="00E56EAF"/>
    <w:rsid w:val="00E72D14"/>
    <w:rsid w:val="00EA2800"/>
    <w:rsid w:val="00F34146"/>
    <w:rsid w:val="00F97444"/>
    <w:rsid w:val="00FC2311"/>
    <w:rsid w:val="00FD4637"/>
    <w:rsid w:val="00FE26A6"/>
    <w:rsid w:val="0C75483D"/>
    <w:rsid w:val="12A302A7"/>
    <w:rsid w:val="45701331"/>
    <w:rsid w:val="48EF3F54"/>
    <w:rsid w:val="537D4091"/>
    <w:rsid w:val="797F4032"/>
    <w:rsid w:val="7AC96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eastAsia="仿宋_GB2312" w:hAnsiTheme="minorHAnsi" w:cstheme="minorBidi"/>
      <w:kern w:val="2"/>
      <w:sz w:val="32"/>
      <w:szCs w:val="22"/>
      <w:lang w:val="en-US" w:eastAsia="zh-CN" w:bidi="ar-SA"/>
    </w:rPr>
  </w:style>
  <w:style w:type="paragraph" w:styleId="2">
    <w:name w:val="heading 1"/>
    <w:basedOn w:val="1"/>
    <w:next w:val="1"/>
    <w:link w:val="9"/>
    <w:qFormat/>
    <w:uiPriority w:val="9"/>
    <w:pPr>
      <w:jc w:val="center"/>
      <w:outlineLvl w:val="0"/>
    </w:pPr>
    <w:rPr>
      <w:rFonts w:ascii="方正小标宋_GBK" w:eastAsia="方正小标宋_GBK"/>
      <w:sz w:val="44"/>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标题 1 字符"/>
    <w:basedOn w:val="8"/>
    <w:link w:val="2"/>
    <w:qFormat/>
    <w:uiPriority w:val="9"/>
    <w:rPr>
      <w:rFonts w:ascii="方正小标宋_GBK" w:eastAsia="方正小标宋_GBK"/>
      <w:sz w:val="44"/>
    </w:rPr>
  </w:style>
  <w:style w:type="character" w:customStyle="1" w:styleId="10">
    <w:name w:val="页眉 字符"/>
    <w:basedOn w:val="8"/>
    <w:link w:val="5"/>
    <w:qFormat/>
    <w:uiPriority w:val="99"/>
    <w:rPr>
      <w:rFonts w:ascii="仿宋_GB2312" w:eastAsia="仿宋_GB2312"/>
      <w:sz w:val="18"/>
      <w:szCs w:val="18"/>
    </w:rPr>
  </w:style>
  <w:style w:type="character" w:customStyle="1" w:styleId="11">
    <w:name w:val="页脚 字符"/>
    <w:basedOn w:val="8"/>
    <w:link w:val="4"/>
    <w:qFormat/>
    <w:uiPriority w:val="99"/>
    <w:rPr>
      <w:rFonts w:ascii="仿宋_GB2312" w:eastAsia="仿宋_GB2312"/>
      <w:sz w:val="18"/>
      <w:szCs w:val="18"/>
    </w:rPr>
  </w:style>
  <w:style w:type="paragraph" w:styleId="12">
    <w:name w:val="List Paragraph"/>
    <w:basedOn w:val="1"/>
    <w:qFormat/>
    <w:uiPriority w:val="34"/>
    <w:pPr>
      <w:ind w:firstLine="420" w:firstLineChars="200"/>
    </w:pPr>
  </w:style>
  <w:style w:type="character" w:customStyle="1" w:styleId="13">
    <w:name w:val="批注框文本 字符"/>
    <w:basedOn w:val="8"/>
    <w:link w:val="3"/>
    <w:semiHidden/>
    <w:qFormat/>
    <w:uiPriority w:val="99"/>
    <w:rPr>
      <w:rFonts w:ascii="仿宋_GB2312" w:eastAsia="仿宋_GB231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437</Words>
  <Characters>2492</Characters>
  <Lines>20</Lines>
  <Paragraphs>5</Paragraphs>
  <TotalTime>9</TotalTime>
  <ScaleCrop>false</ScaleCrop>
  <LinksUpToDate>false</LinksUpToDate>
  <CharactersWithSpaces>2924</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2020-03-03T01:56:00Z</dcterms:created>
  <dc:creator>ys-pc</dc:creator>
  <cp:lastModifiedBy>~~~^_^</cp:lastModifiedBy>
  <cp:lastPrinted>2020-03-03T07:59:00Z</cp:lastPrinted>
  <dcterms:modified xsi:type="dcterms:W3CDTF">2020-12-14T07:43:28Z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