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hint="eastAsia" w:ascii="方正小标宋_GBK" w:eastAsia="方正小标宋_GBK"/>
          <w:sz w:val="40"/>
        </w:rPr>
      </w:pPr>
    </w:p>
    <w:p>
      <w:pPr>
        <w:jc w:val="center"/>
        <w:rPr>
          <w:rFonts w:hint="eastAsia"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lang w:val="en-US" w:eastAsia="zh-CN"/>
        </w:rPr>
        <w:t>中共濮阳市华龙区纪律检查委员会</w:t>
      </w:r>
    </w:p>
    <w:p>
      <w:pPr>
        <w:jc w:val="center"/>
        <w:rPr>
          <w:rFonts w:hint="eastAsia"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附件：中共濮阳市华龙区纪律检查委员会2020年部门预算表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ind w:firstLine="660" w:firstLineChars="200"/>
        <w:rPr>
          <w:rFonts w:ascii="仿宋" w:hAnsi="仿宋" w:eastAsia="仿宋"/>
          <w:bCs/>
          <w:smallCaps/>
          <w:spacing w:val="5"/>
          <w:sz w:val="32"/>
          <w:szCs w:val="32"/>
        </w:rPr>
      </w:pPr>
      <w:r>
        <w:rPr>
          <w:rFonts w:hint="eastAsia" w:ascii="仿宋" w:hAnsi="仿宋" w:eastAsia="仿宋"/>
          <w:bCs/>
          <w:smallCaps/>
          <w:spacing w:val="5"/>
          <w:sz w:val="32"/>
          <w:szCs w:val="32"/>
        </w:rPr>
        <w:t>区纪委监委机关与</w:t>
      </w:r>
      <w:r>
        <w:rPr>
          <w:rFonts w:hint="eastAsia" w:ascii="仿宋" w:hAnsi="仿宋" w:eastAsia="仿宋"/>
          <w:bCs/>
          <w:smallCaps/>
          <w:spacing w:val="5"/>
          <w:sz w:val="32"/>
          <w:szCs w:val="32"/>
          <w:lang w:val="en-US" w:eastAsia="zh-CN"/>
        </w:rPr>
        <w:t>区</w:t>
      </w:r>
      <w:r>
        <w:rPr>
          <w:rFonts w:hint="eastAsia" w:ascii="仿宋" w:hAnsi="仿宋" w:eastAsia="仿宋"/>
          <w:bCs/>
          <w:smallCaps/>
          <w:spacing w:val="5"/>
          <w:sz w:val="32"/>
          <w:szCs w:val="32"/>
        </w:rPr>
        <w:t>监察</w:t>
      </w:r>
      <w:r>
        <w:rPr>
          <w:rFonts w:hint="eastAsia" w:ascii="仿宋" w:hAnsi="仿宋" w:eastAsia="仿宋"/>
          <w:bCs/>
          <w:smallCaps/>
          <w:spacing w:val="5"/>
          <w:sz w:val="32"/>
          <w:szCs w:val="32"/>
          <w:lang w:val="en-US" w:eastAsia="zh-CN"/>
        </w:rPr>
        <w:t>局</w:t>
      </w:r>
      <w:r>
        <w:rPr>
          <w:rFonts w:hint="eastAsia" w:ascii="仿宋" w:hAnsi="仿宋" w:eastAsia="仿宋"/>
          <w:bCs/>
          <w:smallCaps/>
          <w:spacing w:val="5"/>
          <w:sz w:val="32"/>
          <w:szCs w:val="32"/>
        </w:rPr>
        <w:t>（加挂区预防腐败局牌子）合署办公，实行一套工作机构，两个机关名称的体质，履行党的纪律检查，政府行政监察两种职能，对区纪委全面负责。区纪律监委机关内设14个职能处室和教育基地，机关服务中心等两个归口预算管理单位。主要职责是：忠诚履行《党章》《宪法》《监察法》赋予的职责，负责贯彻落实党中央、省委、市委、区委关于加强党风廉政建设的决定，维护党的章程和党内其他法规，检查党的路线、方针、政策和决议的执行情况；全区监察工作；调查处理区级党政群机关各部门、各乡镇办的党组织和区委管理的党员干部违反党的章程及其他党内法规的案件，决定给予或取消对这些案件中的党员及其他违纪党员的处分，受理党员的控告和申诉；负责调查处理区政府各部门及其工作人员、区政府及各部门任命的其他人员、乡镇人民政府和街道办事处及其工作人员和其他公职人员违反国家政策、法律、法规以及违反政纪的行为，并根据责任人所犯错误的情节轻重，作出处理或提出处理建议（对涉及选举产生的领导干部按法定程序办理）；管理监察对象对不服政务处分的申诉，受理个人或单位对监察对象违纪行为的检查、控告；负责作出关于维护党纪和决定，制定全区党风党纪教育规划，会同有关部门做好纪检监察工作的方针、政策和法律、法规的宣传工作，教育党员和干部遵纪守法，廉洁奉公；负责组织实施全区副科级以上领导干部廉洁自律工作；对选拔任用党政领导干部工作实行检查监督。</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w:t>
      </w:r>
      <w:r>
        <w:rPr>
          <w:rFonts w:hint="eastAsia" w:ascii="仿宋" w:hAnsi="仿宋" w:eastAsia="仿宋"/>
          <w:sz w:val="32"/>
          <w:szCs w:val="32"/>
        </w:rPr>
        <w:t>区纪律检查委员会机关内设14个职能处室和一个教育基地分别为：纪委办公室、组织部、宣传部、党风政风监督室、信访室、案件监督管理室、案件审理室、纪检监察干部监督室、第一纪检监察室、第二纪检监察室、第三纪检监察室、第四纪检监察室、第五纪检监察室、第六纪检监察室。</w:t>
      </w:r>
      <w:r>
        <w:rPr>
          <w:rFonts w:hint="eastAsia" w:ascii="仿宋" w:hAnsi="仿宋" w:eastAsia="仿宋"/>
          <w:szCs w:val="32"/>
        </w:rPr>
        <w:t>本部门无独立核算的下属预算单位，部门本级预算即汇总预算。</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20年本部门预算收入总计2</w:t>
      </w:r>
      <w:r>
        <w:rPr>
          <w:rFonts w:hint="eastAsia" w:ascii="仿宋" w:hAnsi="仿宋" w:eastAsia="仿宋"/>
          <w:szCs w:val="32"/>
          <w:lang w:val="en-US" w:eastAsia="zh-CN"/>
        </w:rPr>
        <w:t>,</w:t>
      </w:r>
      <w:r>
        <w:rPr>
          <w:rFonts w:hint="eastAsia" w:ascii="仿宋" w:hAnsi="仿宋" w:eastAsia="仿宋"/>
          <w:szCs w:val="32"/>
        </w:rPr>
        <w:t>547</w:t>
      </w:r>
      <w:r>
        <w:rPr>
          <w:rFonts w:hint="eastAsia" w:ascii="仿宋" w:hAnsi="仿宋" w:eastAsia="仿宋"/>
          <w:szCs w:val="32"/>
          <w:lang w:val="en-US" w:eastAsia="zh-CN"/>
        </w:rPr>
        <w:t>.</w:t>
      </w:r>
      <w:r>
        <w:rPr>
          <w:rFonts w:hint="eastAsia" w:ascii="仿宋" w:hAnsi="仿宋" w:eastAsia="仿宋"/>
          <w:szCs w:val="32"/>
        </w:rPr>
        <w:t>15万元，支出总计2</w:t>
      </w:r>
      <w:r>
        <w:rPr>
          <w:rFonts w:hint="eastAsia" w:ascii="仿宋" w:hAnsi="仿宋" w:eastAsia="仿宋"/>
          <w:szCs w:val="32"/>
          <w:lang w:val="en-US" w:eastAsia="zh-CN"/>
        </w:rPr>
        <w:t>,</w:t>
      </w:r>
      <w:r>
        <w:rPr>
          <w:rFonts w:hint="eastAsia" w:ascii="仿宋" w:hAnsi="仿宋" w:eastAsia="仿宋"/>
          <w:szCs w:val="32"/>
        </w:rPr>
        <w:t>547</w:t>
      </w:r>
      <w:r>
        <w:rPr>
          <w:rFonts w:hint="eastAsia" w:ascii="仿宋" w:hAnsi="仿宋" w:eastAsia="仿宋"/>
          <w:szCs w:val="32"/>
          <w:lang w:val="en-US" w:eastAsia="zh-CN"/>
        </w:rPr>
        <w:t>.</w:t>
      </w:r>
      <w:r>
        <w:rPr>
          <w:rFonts w:hint="eastAsia" w:ascii="仿宋" w:hAnsi="仿宋" w:eastAsia="仿宋"/>
          <w:szCs w:val="32"/>
        </w:rPr>
        <w:t>15万元。</w:t>
      </w:r>
    </w:p>
    <w:p>
      <w:pPr>
        <w:ind w:firstLine="640" w:firstLineChars="200"/>
        <w:rPr>
          <w:rFonts w:hint="default" w:ascii="仿宋" w:hAnsi="仿宋" w:eastAsia="仿宋"/>
          <w:szCs w:val="32"/>
          <w:lang w:val="en-US" w:eastAsia="zh-CN"/>
        </w:rPr>
      </w:pPr>
      <w:r>
        <w:rPr>
          <w:rFonts w:hint="eastAsia" w:ascii="仿宋" w:hAnsi="仿宋" w:eastAsia="仿宋"/>
          <w:szCs w:val="32"/>
        </w:rPr>
        <w:t>2020年本级预算和所属单位预算在内的汇总预算收入总计2</w:t>
      </w:r>
      <w:r>
        <w:rPr>
          <w:rFonts w:hint="eastAsia" w:ascii="仿宋" w:hAnsi="仿宋" w:eastAsia="仿宋"/>
          <w:szCs w:val="32"/>
          <w:lang w:val="en-US" w:eastAsia="zh-CN"/>
        </w:rPr>
        <w:t>,</w:t>
      </w:r>
      <w:r>
        <w:rPr>
          <w:rFonts w:hint="eastAsia" w:ascii="仿宋" w:hAnsi="仿宋" w:eastAsia="仿宋"/>
          <w:szCs w:val="32"/>
        </w:rPr>
        <w:t>547</w:t>
      </w:r>
      <w:r>
        <w:rPr>
          <w:rFonts w:hint="eastAsia" w:ascii="仿宋" w:hAnsi="仿宋" w:eastAsia="仿宋"/>
          <w:szCs w:val="32"/>
          <w:lang w:val="en-US" w:eastAsia="zh-CN"/>
        </w:rPr>
        <w:t>.</w:t>
      </w:r>
      <w:r>
        <w:rPr>
          <w:rFonts w:hint="eastAsia" w:ascii="仿宋" w:hAnsi="仿宋" w:eastAsia="仿宋"/>
          <w:szCs w:val="32"/>
        </w:rPr>
        <w:t>15万元，支出总计2,547.15 万元，其中：</w:t>
      </w:r>
      <w:r>
        <w:rPr>
          <w:rFonts w:hint="eastAsia" w:ascii="仿宋" w:hAnsi="仿宋" w:eastAsia="仿宋"/>
          <w:szCs w:val="32"/>
          <w:lang w:val="en-US" w:eastAsia="zh-CN"/>
        </w:rPr>
        <w:t>基本支出</w:t>
      </w:r>
      <w:r>
        <w:rPr>
          <w:rFonts w:hint="eastAsia" w:ascii="仿宋" w:hAnsi="仿宋" w:eastAsia="仿宋"/>
          <w:szCs w:val="32"/>
        </w:rPr>
        <w:t xml:space="preserve">1,476.81 </w:t>
      </w:r>
      <w:r>
        <w:rPr>
          <w:rFonts w:hint="eastAsia" w:ascii="仿宋" w:hAnsi="仿宋" w:eastAsia="仿宋"/>
          <w:szCs w:val="32"/>
          <w:lang w:val="en-US" w:eastAsia="zh-CN"/>
        </w:rPr>
        <w:t>万元，项目支出1,070.34 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20年本部门预算收入总计2</w:t>
      </w:r>
      <w:r>
        <w:rPr>
          <w:rFonts w:hint="eastAsia" w:ascii="仿宋" w:hAnsi="仿宋" w:eastAsia="仿宋"/>
          <w:szCs w:val="32"/>
          <w:lang w:val="en-US" w:eastAsia="zh-CN"/>
        </w:rPr>
        <w:t>,</w:t>
      </w:r>
      <w:r>
        <w:rPr>
          <w:rFonts w:hint="eastAsia" w:ascii="仿宋" w:hAnsi="仿宋" w:eastAsia="仿宋"/>
          <w:szCs w:val="32"/>
        </w:rPr>
        <w:t>547</w:t>
      </w:r>
      <w:r>
        <w:rPr>
          <w:rFonts w:hint="eastAsia" w:ascii="仿宋" w:hAnsi="仿宋" w:eastAsia="仿宋"/>
          <w:szCs w:val="32"/>
          <w:lang w:val="en-US" w:eastAsia="zh-CN"/>
        </w:rPr>
        <w:t>.</w:t>
      </w:r>
      <w:r>
        <w:rPr>
          <w:rFonts w:hint="eastAsia" w:ascii="仿宋" w:hAnsi="仿宋" w:eastAsia="仿宋"/>
          <w:szCs w:val="32"/>
        </w:rPr>
        <w:t>15万元，支出总计2</w:t>
      </w:r>
      <w:r>
        <w:rPr>
          <w:rFonts w:hint="eastAsia" w:ascii="仿宋" w:hAnsi="仿宋" w:eastAsia="仿宋"/>
          <w:szCs w:val="32"/>
          <w:lang w:val="en-US" w:eastAsia="zh-CN"/>
        </w:rPr>
        <w:t>,</w:t>
      </w:r>
      <w:r>
        <w:rPr>
          <w:rFonts w:hint="eastAsia" w:ascii="仿宋" w:hAnsi="仿宋" w:eastAsia="仿宋"/>
          <w:szCs w:val="32"/>
        </w:rPr>
        <w:t>547</w:t>
      </w:r>
      <w:r>
        <w:rPr>
          <w:rFonts w:hint="eastAsia" w:ascii="仿宋" w:hAnsi="仿宋" w:eastAsia="仿宋"/>
          <w:szCs w:val="32"/>
          <w:lang w:val="en-US" w:eastAsia="zh-CN"/>
        </w:rPr>
        <w:t>.</w:t>
      </w:r>
      <w:r>
        <w:rPr>
          <w:rFonts w:hint="eastAsia" w:ascii="仿宋" w:hAnsi="仿宋" w:eastAsia="仿宋"/>
          <w:szCs w:val="32"/>
        </w:rPr>
        <w:t>15万元。其中：基本支出1,476.81</w:t>
      </w:r>
      <w:r>
        <w:rPr>
          <w:rFonts w:hint="eastAsia" w:ascii="仿宋" w:hAnsi="仿宋" w:eastAsia="仿宋"/>
          <w:szCs w:val="32"/>
          <w:lang w:val="en-US" w:eastAsia="zh-CN"/>
        </w:rPr>
        <w:t>万</w:t>
      </w:r>
      <w:r>
        <w:rPr>
          <w:rFonts w:hint="eastAsia" w:ascii="仿宋" w:hAnsi="仿宋" w:eastAsia="仿宋"/>
          <w:szCs w:val="32"/>
        </w:rPr>
        <w:t>元，占比57.98%，项目支出</w:t>
      </w:r>
      <w:r>
        <w:rPr>
          <w:rFonts w:hint="eastAsia" w:ascii="仿宋" w:hAnsi="仿宋" w:eastAsia="仿宋"/>
          <w:szCs w:val="32"/>
          <w:lang w:val="en-US" w:eastAsia="zh-CN"/>
        </w:rPr>
        <w:t>1,070.34</w:t>
      </w:r>
      <w:r>
        <w:rPr>
          <w:rFonts w:hint="eastAsia" w:ascii="仿宋" w:hAnsi="仿宋" w:eastAsia="仿宋"/>
          <w:szCs w:val="32"/>
        </w:rPr>
        <w:t>万元，占比57.98%。</w:t>
      </w:r>
    </w:p>
    <w:p>
      <w:pPr>
        <w:ind w:firstLine="640" w:firstLineChars="200"/>
        <w:rPr>
          <w:rFonts w:ascii="仿宋" w:hAnsi="仿宋" w:eastAsia="仿宋"/>
          <w:color w:val="auto"/>
          <w:szCs w:val="32"/>
          <w:highlight w:val="none"/>
        </w:rPr>
      </w:pPr>
      <w:r>
        <w:rPr>
          <w:rFonts w:hint="eastAsia" w:ascii="仿宋" w:hAnsi="仿宋" w:eastAsia="仿宋"/>
          <w:szCs w:val="32"/>
          <w:highlight w:val="none"/>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highlight w:val="none"/>
        </w:rPr>
        <w:t>较上年增加</w:t>
      </w:r>
      <w:r>
        <w:rPr>
          <w:rFonts w:hint="eastAsia" w:ascii="仿宋" w:hAnsi="仿宋" w:eastAsia="仿宋"/>
          <w:szCs w:val="32"/>
          <w:highlight w:val="none"/>
          <w:lang w:val="en-US" w:eastAsia="zh-CN"/>
        </w:rPr>
        <w:t>1,379.95</w:t>
      </w:r>
      <w:r>
        <w:rPr>
          <w:rFonts w:hint="eastAsia" w:ascii="仿宋" w:hAnsi="仿宋" w:eastAsia="仿宋"/>
          <w:szCs w:val="32"/>
          <w:highlight w:val="none"/>
        </w:rPr>
        <w:t>万元，</w:t>
      </w:r>
      <w:r>
        <w:rPr>
          <w:rFonts w:hint="eastAsia" w:ascii="仿宋" w:hAnsi="仿宋" w:eastAsia="仿宋"/>
          <w:color w:val="auto"/>
          <w:szCs w:val="32"/>
          <w:highlight w:val="none"/>
        </w:rPr>
        <w:t>增长</w:t>
      </w:r>
      <w:r>
        <w:rPr>
          <w:rFonts w:hint="eastAsia" w:ascii="仿宋" w:hAnsi="仿宋" w:eastAsia="仿宋"/>
          <w:color w:val="auto"/>
          <w:szCs w:val="32"/>
          <w:highlight w:val="none"/>
          <w:lang w:val="en-US" w:eastAsia="zh-CN"/>
        </w:rPr>
        <w:t>54.18</w:t>
      </w:r>
      <w:r>
        <w:rPr>
          <w:rFonts w:ascii="仿宋" w:hAnsi="仿宋" w:eastAsia="仿宋"/>
          <w:color w:val="auto"/>
          <w:szCs w:val="32"/>
          <w:highlight w:val="none"/>
        </w:rPr>
        <w:t>%</w:t>
      </w:r>
      <w:r>
        <w:rPr>
          <w:rFonts w:hint="eastAsia" w:ascii="仿宋" w:hAnsi="仿宋" w:eastAsia="仿宋"/>
          <w:color w:val="auto"/>
          <w:szCs w:val="32"/>
          <w:highlight w:val="none"/>
        </w:rPr>
        <w:t>，主要原因</w:t>
      </w:r>
      <w:r>
        <w:rPr>
          <w:rFonts w:hint="eastAsia" w:ascii="仿宋" w:hAnsi="仿宋" w:eastAsia="仿宋"/>
          <w:color w:val="auto"/>
          <w:szCs w:val="32"/>
          <w:highlight w:val="none"/>
          <w:lang w:val="en-US" w:eastAsia="zh-CN"/>
        </w:rPr>
        <w:t>本部门人员增加，村务监督委员会经费增加，廉洁乡村建设经费增加</w:t>
      </w:r>
      <w:r>
        <w:rPr>
          <w:rFonts w:hint="eastAsia" w:ascii="仿宋" w:hAnsi="仿宋" w:eastAsia="仿宋"/>
          <w:color w:val="auto"/>
          <w:szCs w:val="32"/>
          <w:highlight w:val="none"/>
        </w:rPr>
        <w:t>。</w:t>
      </w:r>
      <w:bookmarkStart w:id="0" w:name="_GoBack"/>
      <w:bookmarkEnd w:id="0"/>
    </w:p>
    <w:p>
      <w:pPr>
        <w:ind w:firstLine="640" w:firstLineChars="200"/>
        <w:rPr>
          <w:rFonts w:ascii="黑体" w:hAnsi="黑体" w:eastAsia="黑体"/>
          <w:szCs w:val="32"/>
          <w:highlight w:val="none"/>
        </w:rPr>
      </w:pPr>
      <w:r>
        <w:rPr>
          <w:rFonts w:hint="eastAsia" w:ascii="黑体" w:hAnsi="黑体" w:eastAsia="黑体"/>
          <w:szCs w:val="32"/>
          <w:highlight w:val="none"/>
        </w:rPr>
        <w:t>三、一般公共预算基本支出情况</w:t>
      </w:r>
    </w:p>
    <w:p>
      <w:pPr>
        <w:ind w:firstLine="640" w:firstLineChars="200"/>
        <w:rPr>
          <w:rFonts w:hint="eastAsia" w:ascii="仿宋" w:hAnsi="仿宋" w:eastAsia="仿宋"/>
          <w:szCs w:val="32"/>
          <w:lang w:eastAsia="zh-CN"/>
        </w:rPr>
      </w:pPr>
      <w:r>
        <w:rPr>
          <w:rFonts w:hint="eastAsia" w:ascii="仿宋" w:hAnsi="仿宋" w:eastAsia="仿宋"/>
          <w:szCs w:val="32"/>
        </w:rPr>
        <w:t>2020年本部门一般公共预算基本支出1,476.81万元，其中：人员经费1,394.21 万元，主要包括：基本工资、津贴补贴、绩效工资、机关事业单位基本养老保险缴费、医疗保险缴费、其他社会保障缴费、住房公积金、退休费、</w:t>
      </w:r>
      <w:r>
        <w:rPr>
          <w:rFonts w:hint="eastAsia" w:ascii="仿宋" w:hAnsi="仿宋" w:eastAsia="仿宋"/>
          <w:szCs w:val="32"/>
          <w:lang w:val="en-US" w:eastAsia="zh-CN"/>
        </w:rPr>
        <w:t>抚恤金</w:t>
      </w:r>
      <w:r>
        <w:rPr>
          <w:rFonts w:hint="eastAsia" w:ascii="仿宋" w:hAnsi="仿宋" w:eastAsia="仿宋"/>
          <w:szCs w:val="32"/>
        </w:rPr>
        <w:t>；公用经费82.6万元，主要包括：办公费、会议费、培训费、公务接待费、公务用车运行维护费、其他商品和服务支出</w:t>
      </w:r>
      <w:r>
        <w:rPr>
          <w:rFonts w:hint="eastAsia" w:ascii="仿宋" w:hAnsi="仿宋" w:eastAsia="仿宋"/>
          <w:szCs w:val="32"/>
          <w:lang w:val="en-US" w:eastAsia="zh-CN"/>
        </w:rPr>
        <w:t>等</w:t>
      </w:r>
      <w:r>
        <w:rPr>
          <w:rFonts w:hint="eastAsia" w:ascii="仿宋" w:hAnsi="仿宋" w:eastAsia="仿宋"/>
          <w:szCs w:val="32"/>
          <w:lang w:eastAsia="zh-CN"/>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highlight w:val="none"/>
        </w:rPr>
      </w:pPr>
      <w:r>
        <w:rPr>
          <w:rFonts w:ascii="仿宋" w:hAnsi="仿宋" w:eastAsia="仿宋"/>
          <w:szCs w:val="32"/>
        </w:rPr>
        <w:t>20</w:t>
      </w:r>
      <w:r>
        <w:rPr>
          <w:rFonts w:hint="eastAsia" w:ascii="仿宋" w:hAnsi="仿宋" w:eastAsia="仿宋"/>
          <w:szCs w:val="32"/>
        </w:rPr>
        <w:t>20年本部门机关运行经费安排</w:t>
      </w:r>
      <w:r>
        <w:rPr>
          <w:rFonts w:hint="eastAsia" w:ascii="仿宋" w:hAnsi="仿宋" w:eastAsia="仿宋"/>
          <w:szCs w:val="32"/>
          <w:lang w:val="en-US" w:eastAsia="zh-CN"/>
        </w:rPr>
        <w:t>82.6</w:t>
      </w:r>
      <w:r>
        <w:rPr>
          <w:rFonts w:hint="eastAsia" w:ascii="仿宋" w:hAnsi="仿宋" w:eastAsia="仿宋"/>
          <w:szCs w:val="32"/>
        </w:rPr>
        <w:t xml:space="preserve"> 万元，主要用于保障机关机构正常运转及正常履职需要的办公费、会议费、培训费、公务接待费、公务用车运行维护费、其他商品和服务支出</w:t>
      </w:r>
      <w:r>
        <w:rPr>
          <w:rFonts w:hint="eastAsia" w:ascii="仿宋" w:hAnsi="仿宋" w:eastAsia="仿宋"/>
          <w:szCs w:val="32"/>
          <w:lang w:val="en-US" w:eastAsia="zh-CN"/>
        </w:rPr>
        <w:t>等方面，</w:t>
      </w:r>
      <w:r>
        <w:rPr>
          <w:rFonts w:hint="eastAsia" w:ascii="仿宋" w:hAnsi="仿宋" w:eastAsia="仿宋"/>
          <w:szCs w:val="32"/>
        </w:rPr>
        <w:t>比上年</w:t>
      </w:r>
      <w:r>
        <w:rPr>
          <w:rFonts w:hint="eastAsia" w:ascii="仿宋" w:hAnsi="仿宋" w:eastAsia="仿宋"/>
          <w:szCs w:val="32"/>
          <w:lang w:val="en-US" w:eastAsia="zh-CN"/>
        </w:rPr>
        <w:t>增加27.6</w:t>
      </w:r>
      <w:r>
        <w:rPr>
          <w:rFonts w:hint="eastAsia" w:ascii="仿宋" w:hAnsi="仿宋" w:eastAsia="仿宋"/>
          <w:szCs w:val="32"/>
        </w:rPr>
        <w:t>万元，</w:t>
      </w:r>
      <w:r>
        <w:rPr>
          <w:rFonts w:hint="eastAsia" w:ascii="仿宋" w:hAnsi="仿宋" w:eastAsia="仿宋"/>
          <w:szCs w:val="32"/>
          <w:lang w:val="en-US" w:eastAsia="zh-CN"/>
        </w:rPr>
        <w:t>增加50</w:t>
      </w:r>
      <w:r>
        <w:rPr>
          <w:rFonts w:hint="eastAsia" w:ascii="仿宋" w:hAnsi="仿宋" w:eastAsia="仿宋"/>
          <w:szCs w:val="32"/>
        </w:rPr>
        <w:t>%，主要原因是</w:t>
      </w:r>
      <w:r>
        <w:rPr>
          <w:rFonts w:hint="eastAsia" w:ascii="仿宋" w:hAnsi="仿宋" w:eastAsia="仿宋"/>
          <w:color w:val="auto"/>
          <w:szCs w:val="32"/>
          <w:highlight w:val="none"/>
          <w:lang w:val="en-US" w:eastAsia="zh-CN"/>
        </w:rPr>
        <w:t>单位人员增加，业务量增大</w:t>
      </w:r>
      <w:r>
        <w:rPr>
          <w:rFonts w:hint="eastAsia" w:ascii="仿宋" w:hAnsi="仿宋" w:eastAsia="仿宋"/>
          <w:szCs w:val="32"/>
          <w:highlight w:val="none"/>
        </w:rPr>
        <w:t>。</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w:t>
      </w:r>
      <w:r>
        <w:rPr>
          <w:rFonts w:hint="eastAsia" w:ascii="仿宋" w:hAnsi="仿宋" w:eastAsia="仿宋"/>
          <w:szCs w:val="32"/>
          <w:lang w:val="en-US" w:eastAsia="zh-CN"/>
        </w:rPr>
        <w:t>17</w:t>
      </w:r>
      <w:r>
        <w:rPr>
          <w:rFonts w:hint="eastAsia" w:ascii="仿宋" w:hAnsi="仿宋" w:eastAsia="仿宋"/>
          <w:szCs w:val="32"/>
        </w:rPr>
        <w:t>万元，较上年减少</w:t>
      </w:r>
      <w:r>
        <w:rPr>
          <w:rFonts w:hint="eastAsia" w:ascii="仿宋" w:hAnsi="仿宋" w:eastAsia="仿宋"/>
          <w:szCs w:val="32"/>
          <w:lang w:val="en-US" w:eastAsia="zh-CN"/>
        </w:rPr>
        <w:t>70.4</w:t>
      </w:r>
      <w:r>
        <w:rPr>
          <w:rFonts w:hint="eastAsia" w:ascii="仿宋" w:hAnsi="仿宋" w:eastAsia="仿宋"/>
          <w:szCs w:val="32"/>
        </w:rPr>
        <w:t>万元，主要原因是</w:t>
      </w:r>
      <w:r>
        <w:rPr>
          <w:rFonts w:hint="eastAsia" w:ascii="仿宋" w:hAnsi="仿宋" w:eastAsia="仿宋"/>
          <w:szCs w:val="32"/>
          <w:lang w:val="en-US" w:eastAsia="zh-CN"/>
        </w:rPr>
        <w:t>去年购置公务车</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1.因公出国（境）费</w:t>
      </w:r>
      <w:r>
        <w:rPr>
          <w:rFonts w:hint="eastAsia" w:ascii="仿宋" w:hAnsi="仿宋" w:eastAsia="仿宋"/>
          <w:szCs w:val="32"/>
          <w:lang w:val="en-US" w:eastAsia="zh-CN"/>
        </w:rPr>
        <w:t>0</w:t>
      </w:r>
      <w:r>
        <w:rPr>
          <w:rFonts w:hint="eastAsia" w:ascii="仿宋" w:hAnsi="仿宋" w:eastAsia="仿宋"/>
          <w:szCs w:val="32"/>
        </w:rPr>
        <w:t>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w:t>
      </w:r>
      <w:r>
        <w:rPr>
          <w:rFonts w:hint="eastAsia" w:ascii="仿宋" w:hAnsi="仿宋" w:eastAsia="仿宋"/>
          <w:szCs w:val="32"/>
          <w:lang w:val="en-US" w:eastAsia="zh-CN"/>
        </w:rPr>
        <w:t>12</w:t>
      </w:r>
      <w:r>
        <w:rPr>
          <w:rFonts w:hint="eastAsia" w:ascii="仿宋" w:hAnsi="仿宋" w:eastAsia="仿宋"/>
          <w:szCs w:val="32"/>
        </w:rPr>
        <w:t>万元，其中：公务用车购置</w:t>
      </w:r>
      <w:r>
        <w:rPr>
          <w:rFonts w:hint="eastAsia" w:ascii="仿宋" w:hAnsi="仿宋" w:eastAsia="仿宋"/>
          <w:szCs w:val="32"/>
          <w:lang w:val="en-US" w:eastAsia="zh-CN"/>
        </w:rPr>
        <w:t>0</w:t>
      </w:r>
      <w:r>
        <w:rPr>
          <w:rFonts w:hint="eastAsia" w:ascii="仿宋" w:hAnsi="仿宋" w:eastAsia="仿宋"/>
          <w:szCs w:val="32"/>
        </w:rPr>
        <w:t>万元，公务用车运行费</w:t>
      </w:r>
      <w:r>
        <w:rPr>
          <w:rFonts w:hint="eastAsia" w:ascii="仿宋" w:hAnsi="仿宋" w:eastAsia="仿宋"/>
          <w:szCs w:val="32"/>
          <w:lang w:val="en-US" w:eastAsia="zh-CN"/>
        </w:rPr>
        <w:t>12</w:t>
      </w:r>
      <w:r>
        <w:rPr>
          <w:rFonts w:hint="eastAsia" w:ascii="仿宋" w:hAnsi="仿宋" w:eastAsia="仿宋"/>
          <w:szCs w:val="32"/>
        </w:rPr>
        <w:t>万元。</w:t>
      </w:r>
    </w:p>
    <w:p>
      <w:pPr>
        <w:ind w:firstLine="640" w:firstLineChars="200"/>
        <w:rPr>
          <w:rFonts w:ascii="仿宋" w:hAnsi="仿宋" w:eastAsia="仿宋"/>
          <w:szCs w:val="32"/>
        </w:rPr>
      </w:pPr>
      <w:r>
        <w:rPr>
          <w:rFonts w:hint="eastAsia" w:ascii="仿宋" w:hAnsi="仿宋" w:eastAsia="仿宋"/>
          <w:szCs w:val="32"/>
        </w:rPr>
        <w:t>3.公务接待费</w:t>
      </w:r>
      <w:r>
        <w:rPr>
          <w:rFonts w:hint="eastAsia" w:ascii="仿宋" w:hAnsi="仿宋" w:eastAsia="仿宋"/>
          <w:szCs w:val="32"/>
          <w:lang w:val="en-US" w:eastAsia="zh-CN"/>
        </w:rPr>
        <w:t>5</w:t>
      </w:r>
      <w:r>
        <w:rPr>
          <w:rFonts w:hint="eastAsia" w:ascii="仿宋" w:hAnsi="仿宋" w:eastAsia="仿宋"/>
          <w:szCs w:val="32"/>
        </w:rPr>
        <w:t>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lang w:val="en-US" w:eastAsia="zh-CN"/>
        </w:rPr>
        <w:t>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w:t>
      </w:r>
      <w:r>
        <w:rPr>
          <w:rFonts w:hint="eastAsia" w:ascii="仿宋" w:hAnsi="仿宋" w:eastAsia="仿宋"/>
          <w:szCs w:val="32"/>
          <w:lang w:val="en-US" w:eastAsia="zh-CN"/>
        </w:rPr>
        <w:t>0</w:t>
      </w:r>
      <w:r>
        <w:rPr>
          <w:rFonts w:hint="eastAsia" w:ascii="仿宋" w:hAnsi="仿宋" w:eastAsia="仿宋"/>
          <w:szCs w:val="32"/>
        </w:rPr>
        <w:t>（平方、间）；车辆</w:t>
      </w:r>
      <w:r>
        <w:rPr>
          <w:rFonts w:hint="eastAsia" w:ascii="仿宋" w:hAnsi="仿宋" w:eastAsia="仿宋"/>
          <w:szCs w:val="32"/>
          <w:lang w:val="en-US" w:eastAsia="zh-CN"/>
        </w:rPr>
        <w:t>7</w:t>
      </w:r>
      <w:r>
        <w:rPr>
          <w:rFonts w:hint="eastAsia" w:ascii="仿宋" w:hAnsi="仿宋" w:eastAsia="仿宋"/>
          <w:szCs w:val="32"/>
        </w:rPr>
        <w:t>辆，其中：一般公务用车</w:t>
      </w:r>
      <w:r>
        <w:rPr>
          <w:rFonts w:hint="eastAsia" w:ascii="仿宋" w:hAnsi="仿宋" w:eastAsia="仿宋"/>
          <w:szCs w:val="32"/>
          <w:lang w:val="en-US" w:eastAsia="zh-CN"/>
        </w:rPr>
        <w:t>4</w:t>
      </w:r>
      <w:r>
        <w:rPr>
          <w:rFonts w:hint="eastAsia" w:ascii="仿宋" w:hAnsi="仿宋" w:eastAsia="仿宋"/>
          <w:szCs w:val="32"/>
        </w:rPr>
        <w:t>辆、一般执法执勤用车</w:t>
      </w:r>
      <w:r>
        <w:rPr>
          <w:rFonts w:hint="eastAsia" w:ascii="仿宋" w:hAnsi="仿宋" w:eastAsia="仿宋"/>
          <w:szCs w:val="32"/>
          <w:lang w:val="en-US" w:eastAsia="zh-CN"/>
        </w:rPr>
        <w:t>3</w:t>
      </w:r>
      <w:r>
        <w:rPr>
          <w:rFonts w:hint="eastAsia" w:ascii="仿宋" w:hAnsi="仿宋" w:eastAsia="仿宋"/>
          <w:szCs w:val="32"/>
        </w:rPr>
        <w:t>辆、单位价值</w:t>
      </w:r>
      <w:r>
        <w:rPr>
          <w:rFonts w:ascii="仿宋" w:hAnsi="仿宋" w:eastAsia="仿宋"/>
          <w:szCs w:val="32"/>
        </w:rPr>
        <w:t>50</w:t>
      </w:r>
      <w:r>
        <w:rPr>
          <w:rFonts w:hint="eastAsia" w:ascii="仿宋" w:hAnsi="仿宋" w:eastAsia="仿宋"/>
          <w:szCs w:val="32"/>
        </w:rPr>
        <w:t>万元以上通用设备</w:t>
      </w:r>
      <w:r>
        <w:rPr>
          <w:rFonts w:hint="eastAsia" w:ascii="仿宋" w:hAnsi="仿宋" w:eastAsia="仿宋"/>
          <w:szCs w:val="32"/>
          <w:lang w:val="en-US" w:eastAsia="zh-CN"/>
        </w:rPr>
        <w:t>0</w:t>
      </w:r>
      <w:r>
        <w:rPr>
          <w:rFonts w:hint="eastAsia" w:ascii="仿宋" w:hAnsi="仿宋" w:eastAsia="仿宋"/>
          <w:szCs w:val="32"/>
        </w:rPr>
        <w:t>台（套），单位价值</w:t>
      </w:r>
      <w:r>
        <w:rPr>
          <w:rFonts w:ascii="仿宋" w:hAnsi="仿宋" w:eastAsia="仿宋"/>
          <w:szCs w:val="32"/>
        </w:rPr>
        <w:t>100</w:t>
      </w:r>
      <w:r>
        <w:rPr>
          <w:rFonts w:hint="eastAsia" w:ascii="仿宋" w:hAnsi="仿宋" w:eastAsia="仿宋"/>
          <w:szCs w:val="32"/>
        </w:rPr>
        <w:t>万元以上专用设备</w:t>
      </w:r>
      <w:r>
        <w:rPr>
          <w:rFonts w:hint="eastAsia" w:ascii="仿宋" w:hAnsi="仿宋" w:eastAsia="仿宋"/>
          <w:szCs w:val="32"/>
          <w:lang w:val="en-US" w:eastAsia="zh-CN"/>
        </w:rPr>
        <w:t>0</w:t>
      </w:r>
      <w:r>
        <w:rPr>
          <w:rFonts w:hint="eastAsia" w:ascii="仿宋" w:hAnsi="仿宋" w:eastAsia="仿宋"/>
          <w:szCs w:val="32"/>
        </w:rPr>
        <w:t>台（套）。</w:t>
      </w:r>
    </w:p>
    <w:p>
      <w:pPr>
        <w:numPr>
          <w:ilvl w:val="0"/>
          <w:numId w:val="1"/>
        </w:numPr>
        <w:ind w:firstLine="640" w:firstLineChars="200"/>
        <w:rPr>
          <w:rFonts w:hint="eastAsia" w:ascii="黑体" w:hAnsi="黑体" w:eastAsia="黑体"/>
          <w:szCs w:val="32"/>
        </w:rPr>
      </w:pPr>
      <w:r>
        <w:rPr>
          <w:rFonts w:hint="eastAsia" w:ascii="黑体" w:hAnsi="黑体" w:eastAsia="黑体"/>
          <w:szCs w:val="32"/>
        </w:rPr>
        <w:t>预算绩效管理工作开展情况</w:t>
      </w:r>
    </w:p>
    <w:p>
      <w:pPr>
        <w:numPr>
          <w:ilvl w:val="0"/>
          <w:numId w:val="0"/>
        </w:numPr>
        <w:rPr>
          <w:rFonts w:hint="eastAsia" w:ascii="仿宋" w:hAnsi="仿宋" w:eastAsia="仿宋"/>
          <w:szCs w:val="32"/>
          <w:lang w:val="en-US" w:eastAsia="zh-CN"/>
        </w:rPr>
      </w:pPr>
      <w:r>
        <w:rPr>
          <w:rFonts w:hint="eastAsia" w:ascii="黑体" w:hAnsi="黑体" w:eastAsia="黑体"/>
          <w:szCs w:val="32"/>
          <w:lang w:val="en-US" w:eastAsia="zh-CN"/>
        </w:rPr>
        <w:t xml:space="preserve">    </w:t>
      </w: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szCs w:val="32"/>
          <w:lang w:val="en-US" w:eastAsia="zh-CN"/>
        </w:rPr>
        <w:t>11</w:t>
      </w:r>
      <w:r>
        <w:rPr>
          <w:rFonts w:hint="eastAsia" w:ascii="仿宋" w:hAnsi="仿宋" w:eastAsia="仿宋"/>
          <w:szCs w:val="32"/>
        </w:rPr>
        <w:t>个项目，</w:t>
      </w:r>
      <w:r>
        <w:rPr>
          <w:rFonts w:hint="eastAsia" w:ascii="仿宋" w:hAnsi="仿宋" w:eastAsia="仿宋"/>
          <w:szCs w:val="32"/>
          <w:lang w:val="en-US" w:eastAsia="zh-CN"/>
        </w:rPr>
        <w:t>875.2</w:t>
      </w:r>
      <w:r>
        <w:rPr>
          <w:rFonts w:hint="eastAsia" w:ascii="仿宋" w:hAnsi="仿宋" w:eastAsia="仿宋"/>
          <w:szCs w:val="32"/>
        </w:rPr>
        <w:t>万元，并将以此为基础开展后续预算绩效管理工作，努力建立健全以结果为导向的预算绩效管理工作机制。</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ind w:firstLine="640"/>
        <w:rPr>
          <w:rFonts w:ascii="仿宋" w:hAnsi="仿宋" w:eastAsia="仿宋"/>
          <w:szCs w:val="32"/>
        </w:rPr>
      </w:pP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D7AFC"/>
    <w:multiLevelType w:val="singleLevel"/>
    <w:tmpl w:val="728D7AFC"/>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83109"/>
    <w:rsid w:val="005C4BFD"/>
    <w:rsid w:val="005E427E"/>
    <w:rsid w:val="0060448E"/>
    <w:rsid w:val="00612ECF"/>
    <w:rsid w:val="007C5FD2"/>
    <w:rsid w:val="00845860"/>
    <w:rsid w:val="008A08E8"/>
    <w:rsid w:val="008A2F34"/>
    <w:rsid w:val="008D7DD2"/>
    <w:rsid w:val="008E57A8"/>
    <w:rsid w:val="00925F66"/>
    <w:rsid w:val="00975602"/>
    <w:rsid w:val="00976444"/>
    <w:rsid w:val="009A1FE2"/>
    <w:rsid w:val="00A02B5D"/>
    <w:rsid w:val="00B62460"/>
    <w:rsid w:val="00BC0D2F"/>
    <w:rsid w:val="00C15DCD"/>
    <w:rsid w:val="00C56A03"/>
    <w:rsid w:val="00D56ECE"/>
    <w:rsid w:val="00DA4FD4"/>
    <w:rsid w:val="00DF06AF"/>
    <w:rsid w:val="00E56EAF"/>
    <w:rsid w:val="00E72D14"/>
    <w:rsid w:val="00F34146"/>
    <w:rsid w:val="00F97444"/>
    <w:rsid w:val="00FC2311"/>
    <w:rsid w:val="00FD4637"/>
    <w:rsid w:val="00FE26A6"/>
    <w:rsid w:val="03895AFB"/>
    <w:rsid w:val="12E33C78"/>
    <w:rsid w:val="212C525B"/>
    <w:rsid w:val="2D8F29AC"/>
    <w:rsid w:val="34C94908"/>
    <w:rsid w:val="363343C9"/>
    <w:rsid w:val="537D4091"/>
    <w:rsid w:val="54A55BD0"/>
    <w:rsid w:val="719E26AD"/>
    <w:rsid w:val="775973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397</Words>
  <Characters>2269</Characters>
  <Lines>18</Lines>
  <Paragraphs>5</Paragraphs>
  <TotalTime>0</TotalTime>
  <ScaleCrop>false</ScaleCrop>
  <LinksUpToDate>false</LinksUpToDate>
  <CharactersWithSpaces>2661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2020-12-14T08:25:32Z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