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中国共产主义青年团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w w:val="85"/>
          <w:sz w:val="56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濮阳市华龙区委员会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ascii="方正小标宋_GBK" w:eastAsia="方正小标宋_GBK"/>
          <w:sz w:val="40"/>
        </w:rPr>
      </w:pPr>
    </w:p>
    <w:p>
      <w:pPr>
        <w:jc w:val="both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中国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共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产主义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青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年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团华龙区委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员会</w:t>
      </w:r>
      <w:r>
        <w:rPr>
          <w:rFonts w:hint="eastAsia" w:ascii="黑体" w:hAnsi="黑体" w:eastAsia="黑体"/>
          <w:color w:val="auto"/>
          <w:sz w:val="32"/>
          <w:szCs w:val="32"/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一、部门主要职责</w:t>
      </w:r>
    </w:p>
    <w:p>
      <w:pPr>
        <w:ind w:firstLine="640" w:firstLineChars="200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华龙区团委在改革中要适应新形势新任务的需要，按照自身的性质，积极探索并建立区别于党政机关、符合共青团组织特点、充满生机和活动的运行机制，创造性地开展工作。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（一）领导全区的共青团工作。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（二）领导全区青联和少先队工作，对全区性青年社团组织实行指导和管理。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（三）参与制定青少年事业发展规划和工作政策，对青少年活动阵地、服务机构建设和读物发行等事务进行规范和管理。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（四）参与有关青少年事务的法规调研及实施，协助党和政府处理、协调与青少年利益相关的事务，负责处理区人大、区政协有关青少年问题的提案。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（五）调查青年思想动态和青年工作状况，研究青少年运动、工作理论和思想教育问题，提出相关对策，开展各项活动。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（六）协调政府教育部门做好中、小学的教育管理工作，维护学校稳定和社会安定团结。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（七）在全区经济建设中，组织和带领团员发挥生力军和突击队作用。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（八）负责市区青少年对外宣传工作。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（九）参与制定区内有关青年统战工作的政策，做好青年统战对象的团结教育工作，维护和促进祖国统一和民族团结。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（十）承担区委、区政府、团市委交办的其他事项。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二、机构设置情况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pacing w:val="-3"/>
          <w:sz w:val="32"/>
        </w:rPr>
      </w:pPr>
      <w:r>
        <w:rPr>
          <w:rFonts w:hint="eastAsia" w:ascii="仿宋_GB2312" w:hAnsi="仿宋_GB2312" w:eastAsia="仿宋_GB2312"/>
          <w:spacing w:val="-3"/>
          <w:sz w:val="32"/>
        </w:rPr>
        <w:t>根据上述职责，共青团华龙区委机关设</w:t>
      </w:r>
      <w:r>
        <w:rPr>
          <w:rFonts w:ascii="仿宋_GB2312" w:hAnsi="仿宋_GB2312" w:eastAsia="仿宋_GB2312"/>
          <w:spacing w:val="-3"/>
          <w:sz w:val="32"/>
        </w:rPr>
        <w:t>2</w:t>
      </w:r>
      <w:r>
        <w:rPr>
          <w:rFonts w:hint="eastAsia" w:ascii="仿宋_GB2312" w:hAnsi="仿宋_GB2312" w:eastAsia="仿宋_GB2312"/>
          <w:spacing w:val="-3"/>
          <w:sz w:val="32"/>
        </w:rPr>
        <w:t>个内设机构。</w:t>
      </w:r>
    </w:p>
    <w:p>
      <w:pPr>
        <w:spacing w:line="586" w:lineRule="atLeast"/>
        <w:ind w:firstLine="639"/>
        <w:textAlignment w:val="center"/>
        <w:rPr>
          <w:rFonts w:ascii="楷体_GB2312" w:hAnsi="楷体_GB2312" w:eastAsia="楷体_GB2312"/>
          <w:sz w:val="32"/>
        </w:rPr>
      </w:pPr>
      <w:r>
        <w:rPr>
          <w:rFonts w:hint="eastAsia" w:ascii="楷体_GB2312" w:hAnsi="楷体_GB2312" w:eastAsia="楷体_GB2312"/>
          <w:sz w:val="32"/>
        </w:rPr>
        <w:t>（一）综合办公室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协调、承办团区委机关日常事务，负责会务、文秘、财务及后勤管理等工作；指导全区共青团的基层组织、团干部队伍、团员队伍建设；组织指导全区团员青年的思想政治教育和全团团组织的文化活动，指导全区团的宣传工作；研究、指导企业和城区街道团的工作；指导全区农村团的工作，组织农村青年围绕经济建设开展活动；组织指导全区中学的共青团工作，了解掌握学生的思想动态；指导全区少先队工作，研究少年儿童的思想品德教育，协调和配合社会有关部门调查研究，反映情况制定政策和措施；负责全区未成年人权益保护工作，研究全区有关青少年发展问题；知道全区共青团和青联组织开展青年统战哦工作，负责区青联的日常事务工作。</w:t>
      </w:r>
    </w:p>
    <w:p>
      <w:pPr>
        <w:spacing w:line="586" w:lineRule="atLeast"/>
        <w:ind w:firstLine="639"/>
        <w:textAlignment w:val="center"/>
        <w:rPr>
          <w:rFonts w:ascii="楷体_GB2312" w:hAnsi="楷体_GB2312" w:eastAsia="楷体_GB2312"/>
          <w:sz w:val="32"/>
        </w:rPr>
      </w:pPr>
      <w:r>
        <w:rPr>
          <w:rFonts w:hint="eastAsia" w:ascii="楷体_GB2312" w:hAnsi="楷体_GB2312" w:eastAsia="楷体_GB2312"/>
          <w:sz w:val="32"/>
        </w:rPr>
        <w:t>（二）华龙区青少年活动中心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贯彻落实党的路线、方针、政策和共青团、少先队的工作部署，以适应青少年特点的、生动活泼的形式，开展思想道德教育活动。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帮助和辅导青少年学习现代科学文化知识，直接为社会科级文化、教育事业服务，为现代化建设服务。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为青少年提供和创造学习条件，辅导青少年的业余学习，鼓励青少年自学成长。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开展美育活动，培养和提高青少年的美学修养和鉴赏能力，为青少年发挥艺术才能和创造力创造条件。</w:t>
      </w:r>
    </w:p>
    <w:p>
      <w:pPr>
        <w:spacing w:line="586" w:lineRule="atLeast"/>
        <w:ind w:firstLine="639"/>
        <w:textAlignment w:val="center"/>
        <w:rPr>
          <w:rFonts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注意发现、配偶杨和输送各种人才。</w:t>
      </w:r>
    </w:p>
    <w:p>
      <w:pPr>
        <w:spacing w:line="586" w:lineRule="atLeast"/>
        <w:ind w:firstLine="639"/>
        <w:textAlignment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/>
          <w:sz w:val="32"/>
        </w:rPr>
        <w:t>正确引导青少年的兴趣和爱好，开展多种形式的、健康有益的文化娱乐活动。</w:t>
      </w: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47.32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47.32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47.32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47.32</w:t>
      </w:r>
      <w:r>
        <w:rPr>
          <w:rFonts w:hint="eastAsia" w:ascii="仿宋" w:hAnsi="仿宋" w:eastAsia="仿宋"/>
          <w:szCs w:val="32"/>
        </w:rPr>
        <w:t>万元。其中：基本支出</w:t>
      </w:r>
      <w:r>
        <w:rPr>
          <w:rFonts w:hint="eastAsia" w:ascii="仿宋" w:hAnsi="仿宋" w:eastAsia="仿宋"/>
          <w:szCs w:val="32"/>
          <w:lang w:val="en-US" w:eastAsia="zh-CN"/>
        </w:rPr>
        <w:t>40.92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86.48</w:t>
      </w:r>
      <w:r>
        <w:rPr>
          <w:rFonts w:hint="eastAsia" w:ascii="仿宋" w:hAnsi="仿宋" w:eastAsia="仿宋"/>
          <w:szCs w:val="32"/>
        </w:rPr>
        <w:t>%，项目支出</w:t>
      </w:r>
      <w:r>
        <w:rPr>
          <w:rFonts w:hint="eastAsia" w:ascii="仿宋" w:hAnsi="仿宋" w:eastAsia="仿宋"/>
          <w:szCs w:val="32"/>
          <w:lang w:val="en-US" w:eastAsia="zh-CN"/>
        </w:rPr>
        <w:t>6.4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13.52</w:t>
      </w:r>
      <w:r>
        <w:rPr>
          <w:rFonts w:hint="eastAsia" w:ascii="仿宋" w:hAnsi="仿宋" w:eastAsia="仿宋"/>
          <w:szCs w:val="32"/>
        </w:rPr>
        <w:t>%。</w:t>
      </w:r>
    </w:p>
    <w:p>
      <w:pPr>
        <w:ind w:firstLine="640" w:firstLineChars="200"/>
        <w:rPr>
          <w:rFonts w:ascii="仿宋" w:hAnsi="仿宋" w:eastAsia="仿宋"/>
          <w:color w:val="auto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</w:t>
      </w:r>
      <w:r>
        <w:rPr>
          <w:rFonts w:hint="eastAsia" w:ascii="仿宋" w:hAnsi="仿宋" w:eastAsia="仿宋"/>
          <w:color w:val="auto"/>
          <w:szCs w:val="32"/>
        </w:rPr>
        <w:t>年减少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10.16</w:t>
      </w:r>
      <w:r>
        <w:rPr>
          <w:rFonts w:hint="eastAsia" w:ascii="仿宋" w:hAnsi="仿宋" w:eastAsia="仿宋"/>
          <w:color w:val="auto"/>
          <w:szCs w:val="32"/>
        </w:rPr>
        <w:t>万元，减少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21.47</w:t>
      </w:r>
      <w:r>
        <w:rPr>
          <w:rFonts w:ascii="仿宋" w:hAnsi="仿宋" w:eastAsia="仿宋"/>
          <w:color w:val="auto"/>
          <w:szCs w:val="32"/>
        </w:rPr>
        <w:t>%</w:t>
      </w:r>
      <w:r>
        <w:rPr>
          <w:rFonts w:hint="eastAsia" w:ascii="仿宋" w:hAnsi="仿宋" w:eastAsia="仿宋"/>
          <w:color w:val="auto"/>
          <w:szCs w:val="32"/>
        </w:rPr>
        <w:t>，主要原因</w:t>
      </w:r>
      <w:r>
        <w:rPr>
          <w:rFonts w:hint="eastAsia" w:ascii="仿宋" w:hAnsi="仿宋" w:eastAsia="仿宋"/>
          <w:color w:val="auto"/>
          <w:szCs w:val="32"/>
          <w:lang w:eastAsia="zh-CN"/>
        </w:rPr>
        <w:t>减少非必要活动的开支</w:t>
      </w:r>
      <w:r>
        <w:rPr>
          <w:rFonts w:hint="eastAsia" w:ascii="仿宋" w:hAnsi="仿宋" w:eastAsia="仿宋"/>
          <w:color w:val="auto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</w:t>
      </w:r>
      <w:r>
        <w:rPr>
          <w:rFonts w:hint="eastAsia" w:ascii="仿宋" w:hAnsi="仿宋" w:eastAsia="仿宋"/>
          <w:szCs w:val="32"/>
          <w:lang w:val="en-US" w:eastAsia="zh-CN"/>
        </w:rPr>
        <w:t>40.92</w:t>
      </w:r>
      <w:r>
        <w:rPr>
          <w:rFonts w:hint="eastAsia" w:ascii="仿宋" w:hAnsi="仿宋" w:eastAsia="仿宋"/>
          <w:szCs w:val="32"/>
        </w:rPr>
        <w:t>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38.92</w:t>
      </w:r>
      <w:r>
        <w:rPr>
          <w:rFonts w:hint="eastAsia" w:ascii="仿宋" w:hAnsi="仿宋" w:eastAsia="仿宋"/>
          <w:szCs w:val="32"/>
        </w:rPr>
        <w:t>万元，主要包括：基本工资、绩效工资、机关事业单位基本养老保险缴费、医疗保险缴费、其他社会保障缴费、住房公积金；公用经费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万元，主要包括：办公</w:t>
      </w:r>
      <w:r>
        <w:rPr>
          <w:rFonts w:hint="eastAsia" w:ascii="仿宋" w:hAnsi="仿宋" w:eastAsia="仿宋"/>
          <w:szCs w:val="32"/>
          <w:lang w:val="en-US" w:eastAsia="zh-CN"/>
        </w:rPr>
        <w:t>经</w:t>
      </w:r>
      <w:r>
        <w:rPr>
          <w:rFonts w:hint="eastAsia" w:ascii="仿宋" w:hAnsi="仿宋" w:eastAsia="仿宋"/>
          <w:szCs w:val="32"/>
        </w:rPr>
        <w:t>费。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hint="eastAsia" w:ascii="仿宋" w:hAnsi="仿宋" w:eastAsia="仿宋"/>
          <w:szCs w:val="32"/>
          <w:lang w:val="en-US" w:eastAsia="zh-CN"/>
        </w:rPr>
        <w:t>2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</w:t>
      </w:r>
      <w:r>
        <w:rPr>
          <w:rFonts w:hint="eastAsia" w:ascii="仿宋" w:hAnsi="仿宋" w:eastAsia="仿宋"/>
          <w:szCs w:val="32"/>
          <w:lang w:val="en-US" w:eastAsia="zh-CN"/>
        </w:rPr>
        <w:t>经</w:t>
      </w:r>
      <w:r>
        <w:rPr>
          <w:rFonts w:hint="eastAsia" w:ascii="仿宋" w:hAnsi="仿宋" w:eastAsia="仿宋"/>
          <w:szCs w:val="32"/>
        </w:rPr>
        <w:t>费，比上年减少</w:t>
      </w:r>
      <w:r>
        <w:rPr>
          <w:rFonts w:hint="eastAsia" w:ascii="仿宋" w:hAnsi="仿宋" w:eastAsia="仿宋"/>
          <w:szCs w:val="32"/>
          <w:lang w:val="en-US" w:eastAsia="zh-CN"/>
        </w:rPr>
        <w:t>0.8</w:t>
      </w:r>
      <w:r>
        <w:rPr>
          <w:rFonts w:hint="eastAsia" w:ascii="仿宋" w:hAnsi="仿宋" w:eastAsia="仿宋"/>
          <w:szCs w:val="32"/>
        </w:rPr>
        <w:t>万元，减少</w:t>
      </w:r>
      <w:r>
        <w:rPr>
          <w:rFonts w:hint="eastAsia" w:ascii="仿宋" w:hAnsi="仿宋" w:eastAsia="仿宋"/>
          <w:szCs w:val="32"/>
          <w:lang w:val="en-US" w:eastAsia="zh-CN"/>
        </w:rPr>
        <w:t>40</w:t>
      </w:r>
      <w:r>
        <w:rPr>
          <w:rFonts w:hint="eastAsia" w:ascii="仿宋" w:hAnsi="仿宋" w:eastAsia="仿宋"/>
          <w:szCs w:val="32"/>
        </w:rPr>
        <w:t>%，主要原因是</w:t>
      </w:r>
      <w:r>
        <w:rPr>
          <w:rFonts w:hint="eastAsia" w:ascii="仿宋" w:hAnsi="仿宋" w:eastAsia="仿宋"/>
          <w:szCs w:val="32"/>
          <w:lang w:eastAsia="zh-CN"/>
        </w:rPr>
        <w:t>单位人员减少，</w:t>
      </w:r>
      <w:r>
        <w:rPr>
          <w:rFonts w:hint="eastAsia" w:ascii="仿宋" w:hAnsi="仿宋" w:eastAsia="仿宋"/>
          <w:sz w:val="32"/>
          <w:szCs w:val="32"/>
        </w:rPr>
        <w:t>人均公用经费</w:t>
      </w:r>
      <w:r>
        <w:rPr>
          <w:rFonts w:hint="eastAsia" w:ascii="仿宋" w:hAnsi="仿宋" w:eastAsia="仿宋"/>
          <w:sz w:val="32"/>
          <w:szCs w:val="32"/>
          <w:lang w:eastAsia="zh-CN"/>
        </w:rPr>
        <w:t>进行</w:t>
      </w:r>
      <w:r>
        <w:rPr>
          <w:rFonts w:hint="eastAsia" w:ascii="仿宋" w:hAnsi="仿宋" w:eastAsia="仿宋"/>
          <w:sz w:val="32"/>
          <w:szCs w:val="32"/>
        </w:rPr>
        <w:t>调整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</w:t>
      </w:r>
      <w:r>
        <w:rPr>
          <w:rFonts w:hint="eastAsia" w:ascii="仿宋" w:hAnsi="仿宋" w:eastAsia="仿宋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与上年持平，主要是由于深化公车改革，单位无公务用车。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万元，其中：公务用车购置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万元，公务用车运行费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hint="eastAsia" w:ascii="仿宋" w:hAnsi="仿宋" w:eastAsia="仿宋"/>
          <w:color w:val="FF0000"/>
          <w:szCs w:val="32"/>
          <w:lang w:eastAsia="zh-CN"/>
        </w:rPr>
      </w:pPr>
      <w:r>
        <w:rPr>
          <w:rFonts w:hint="eastAsia" w:ascii="仿宋" w:hAnsi="仿宋" w:eastAsia="仿宋"/>
          <w:szCs w:val="32"/>
        </w:rPr>
        <w:t>3.公务接待费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  <w:lang w:val="en-US" w:eastAsia="zh-CN"/>
        </w:rPr>
        <w:t>2020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9年末，本部门共有：房屋建筑物</w:t>
      </w:r>
      <w:r>
        <w:rPr>
          <w:rFonts w:hint="eastAsia" w:ascii="仿宋" w:hAnsi="仿宋" w:eastAsia="仿宋"/>
          <w:szCs w:val="32"/>
          <w:lang w:eastAsia="zh-CN"/>
        </w:rPr>
        <w:t>在区政府办公楼</w:t>
      </w:r>
      <w:r>
        <w:rPr>
          <w:rFonts w:hint="eastAsia" w:ascii="仿宋" w:hAnsi="仿宋" w:eastAsia="仿宋"/>
          <w:szCs w:val="32"/>
          <w:lang w:val="en-US" w:eastAsia="zh-CN"/>
        </w:rPr>
        <w:t>5楼两间，共计40平方</w:t>
      </w:r>
      <w:r>
        <w:rPr>
          <w:rFonts w:hint="eastAsia" w:ascii="仿宋" w:hAnsi="仿宋" w:eastAsia="仿宋"/>
          <w:szCs w:val="32"/>
        </w:rPr>
        <w:t>（平方、间）；车辆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辆，其中：一般公务用车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辆、一般执法执勤用车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辆、特种专业技术用车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辆，其他用车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个项目，</w:t>
      </w:r>
      <w:r>
        <w:rPr>
          <w:rFonts w:hint="eastAsia" w:ascii="仿宋" w:hAnsi="仿宋" w:eastAsia="仿宋"/>
          <w:szCs w:val="32"/>
          <w:lang w:val="en-US" w:eastAsia="zh-CN"/>
        </w:rPr>
        <w:t>2.4</w:t>
      </w:r>
      <w:r>
        <w:rPr>
          <w:rFonts w:hint="eastAsia" w:ascii="仿宋" w:hAnsi="仿宋" w:eastAsia="仿宋"/>
          <w:szCs w:val="32"/>
        </w:rPr>
        <w:t>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11955C8F"/>
    <w:rsid w:val="1E0005A6"/>
    <w:rsid w:val="206C2C1E"/>
    <w:rsid w:val="355B6470"/>
    <w:rsid w:val="41D34118"/>
    <w:rsid w:val="537D4091"/>
    <w:rsid w:val="76116EC2"/>
    <w:rsid w:val="7CE84B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0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2020-12-14T08:39:15Z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