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6D" w:rsidRDefault="00F720C1" w:rsidP="004470D4">
      <w:pPr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濮阳市</w:t>
      </w:r>
      <w:bookmarkStart w:id="0" w:name="_Hlk44226513"/>
      <w:r>
        <w:rPr>
          <w:rFonts w:ascii="方正小标宋_GBK" w:eastAsia="方正小标宋_GBK" w:hint="eastAsia"/>
          <w:sz w:val="44"/>
        </w:rPr>
        <w:t>城市管理综合执法局华龙区分局</w:t>
      </w:r>
      <w:bookmarkEnd w:id="0"/>
      <w:r>
        <w:rPr>
          <w:rFonts w:ascii="方正小标宋_GBK" w:eastAsia="方正小标宋_GBK" w:hint="eastAsia"/>
          <w:sz w:val="44"/>
        </w:rPr>
        <w:t>2020</w:t>
      </w:r>
      <w:r>
        <w:rPr>
          <w:rFonts w:ascii="方正小标宋_GBK" w:eastAsia="方正小标宋_GBK" w:hint="eastAsia"/>
          <w:sz w:val="44"/>
        </w:rPr>
        <w:t>年部门预算公开说明</w:t>
      </w: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97E6D" w:rsidRDefault="00497E6D">
      <w:pPr>
        <w:jc w:val="center"/>
        <w:rPr>
          <w:rFonts w:ascii="方正小标宋_GBK" w:eastAsia="方正小标宋_GBK"/>
          <w:sz w:val="44"/>
        </w:rPr>
      </w:pPr>
    </w:p>
    <w:p w:rsidR="004470D4" w:rsidRDefault="004470D4">
      <w:pPr>
        <w:jc w:val="center"/>
        <w:rPr>
          <w:rFonts w:ascii="方正小标宋_GBK" w:eastAsia="方正小标宋_GBK" w:hint="eastAsia"/>
          <w:sz w:val="44"/>
        </w:rPr>
      </w:pPr>
    </w:p>
    <w:p w:rsidR="004470D4" w:rsidRDefault="004470D4">
      <w:pPr>
        <w:jc w:val="center"/>
        <w:rPr>
          <w:rFonts w:ascii="方正小标宋_GBK" w:eastAsia="方正小标宋_GBK" w:hint="eastAsia"/>
          <w:sz w:val="44"/>
        </w:rPr>
      </w:pPr>
    </w:p>
    <w:p w:rsidR="0024116A" w:rsidRDefault="0024116A">
      <w:pPr>
        <w:jc w:val="center"/>
        <w:rPr>
          <w:rFonts w:ascii="方正小标宋_GBK" w:eastAsia="方正小标宋_GBK" w:hint="eastAsia"/>
          <w:sz w:val="44"/>
        </w:rPr>
      </w:pPr>
    </w:p>
    <w:p w:rsidR="0024116A" w:rsidRDefault="0024116A">
      <w:pPr>
        <w:jc w:val="center"/>
        <w:rPr>
          <w:rFonts w:ascii="方正小标宋_GBK" w:eastAsia="方正小标宋_GBK" w:hint="eastAsia"/>
          <w:sz w:val="44"/>
        </w:rPr>
      </w:pPr>
    </w:p>
    <w:p w:rsidR="004470D4" w:rsidRDefault="004470D4" w:rsidP="004470D4">
      <w:pPr>
        <w:jc w:val="center"/>
        <w:rPr>
          <w:rFonts w:ascii="方正小标宋_GBK" w:eastAsia="方正小标宋_GBK"/>
          <w:sz w:val="40"/>
        </w:rPr>
      </w:pPr>
      <w:r>
        <w:rPr>
          <w:rFonts w:ascii="楷体_GB2312" w:eastAsia="楷体_GB2312" w:hAnsi="楷体_GB2312" w:cs="楷体_GB2312" w:hint="eastAsia"/>
          <w:b/>
          <w:w w:val="90"/>
          <w:sz w:val="40"/>
        </w:rPr>
        <w:t>二</w:t>
      </w:r>
      <w:r>
        <w:rPr>
          <w:rFonts w:ascii="微软雅黑" w:eastAsia="微软雅黑" w:hAnsi="微软雅黑" w:cs="微软雅黑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二</w:t>
      </w:r>
      <w:r>
        <w:rPr>
          <w:rFonts w:ascii="微软雅黑" w:eastAsia="微软雅黑" w:hAnsi="微软雅黑" w:cs="微软雅黑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:rsidR="00497E6D" w:rsidRDefault="00497E6D" w:rsidP="0024116A">
      <w:pPr>
        <w:rPr>
          <w:rFonts w:ascii="方正小标宋_GBK" w:eastAsia="方正小标宋_GBK"/>
          <w:sz w:val="44"/>
        </w:rPr>
      </w:pP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lastRenderedPageBreak/>
        <w:t>目</w:t>
      </w:r>
      <w:r>
        <w:rPr>
          <w:rFonts w:ascii="黑体" w:eastAsia="黑体" w:hAnsi="黑体" w:hint="eastAsia"/>
          <w:color w:val="000000"/>
          <w:sz w:val="44"/>
          <w:szCs w:val="32"/>
        </w:rPr>
        <w:t> </w:t>
      </w:r>
      <w:r>
        <w:rPr>
          <w:rFonts w:ascii="黑体" w:eastAsia="黑体" w:hAnsi="黑体" w:hint="eastAsia"/>
          <w:color w:val="000000"/>
          <w:sz w:val="44"/>
          <w:szCs w:val="32"/>
        </w:rPr>
        <w:t>录</w:t>
      </w:r>
    </w:p>
    <w:p w:rsidR="00497E6D" w:rsidRDefault="00497E6D">
      <w:pPr>
        <w:pStyle w:val="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2020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年部门预算情况说明</w:t>
      </w:r>
      <w:r>
        <w:rPr>
          <w:rFonts w:ascii="黑体" w:eastAsia="黑体" w:hAnsi="黑体" w:hint="eastAsia"/>
          <w:color w:val="000000"/>
          <w:sz w:val="32"/>
          <w:szCs w:val="32"/>
        </w:rPr>
        <w:t> 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名词解释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附件：濮阳市城市管理综合执法局华龙区分局</w:t>
      </w:r>
      <w:r>
        <w:rPr>
          <w:rFonts w:ascii="黑体" w:eastAsia="黑体" w:hAnsi="黑体" w:hint="eastAsia"/>
          <w:color w:val="000000"/>
          <w:sz w:val="32"/>
          <w:szCs w:val="32"/>
        </w:rPr>
        <w:t>2020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一、部门收支总体情况表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二、部门收入总体情况表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三、部门支出总体情况表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四、财政拨款收支总体情况表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七、一般公共预算“三公”经费支出情况表</w:t>
      </w:r>
    </w:p>
    <w:p w:rsidR="00497E6D" w:rsidRDefault="00F720C1">
      <w:pPr>
        <w:pStyle w:val="1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八、政府性基金预算支出情况表</w:t>
      </w:r>
    </w:p>
    <w:p w:rsidR="00497E6D" w:rsidRDefault="00497E6D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497E6D" w:rsidRDefault="00F720C1">
      <w:pPr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/>
          <w:sz w:val="44"/>
        </w:rPr>
        <w:br w:type="page"/>
      </w: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方正小标宋_GBK" w:eastAsia="方正小标宋_GBK"/>
          <w:sz w:val="44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:rsidR="00497E6D" w:rsidRDefault="00497E6D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一、部门主要职责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贯彻执行城市管理方面的法律、法规、政策；负责区管市政公用工程设施、城市排水、环境卫生、园林绿化的监督执法，负责市容市貌执法管理工作；承担城市市容环境综合整治和城市管理相关工作任务；负责监督管理规划区域外所属乡村户外广告的监督管理工作；负责相关城乡规划的行政执法和执法监督、行政诉讼工作；依法查处建设违法违规案件。</w:t>
      </w:r>
    </w:p>
    <w:p w:rsidR="00497E6D" w:rsidRDefault="00F720C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、负责责任区内城市管理综合执法工作，承担属地管理责任；具体负责京开大道以东（中原油田管理区域外）范围内主次干道的市容市貌执法管理工作；负责责任区域内城市</w:t>
      </w:r>
      <w:r>
        <w:rPr>
          <w:rFonts w:ascii="仿宋" w:eastAsia="仿宋" w:hAnsi="仿宋" w:hint="eastAsia"/>
          <w:sz w:val="32"/>
          <w:szCs w:val="32"/>
        </w:rPr>
        <w:t>市貌和环境卫生方面的行政执法；负责各类庆典、临街建筑物外部装修审核。</w:t>
      </w:r>
    </w:p>
    <w:p w:rsidR="00497E6D" w:rsidRDefault="00F720C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负责拟订城市管理长效机制及管理方案、工作标准，指导检查全区城市管理工作，组织协调市容环境综合整治和城市管理重大活动；负责分解城市管理职责，组织城市管理水平测评和考核工作；负责数字化城市管理和城建公共服务平台建设；参与处理城市管理应急突发事件；负责城区洗车</w:t>
      </w:r>
      <w:r>
        <w:rPr>
          <w:rFonts w:ascii="仿宋" w:eastAsia="仿宋" w:hAnsi="仿宋" w:hint="eastAsia"/>
          <w:sz w:val="32"/>
          <w:szCs w:val="32"/>
        </w:rPr>
        <w:lastRenderedPageBreak/>
        <w:t>台建设审批；负责对市、区城市管理综合执法专项资金提出使用意见，并对使用情况进行监督。</w:t>
      </w:r>
    </w:p>
    <w:p w:rsidR="00497E6D" w:rsidRDefault="00F720C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、完成区委、区政府交办的其他工作。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二、机构设置情况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、机关科室：办公室、督查室、财务室、法规</w:t>
      </w:r>
      <w:r>
        <w:rPr>
          <w:rFonts w:ascii="仿宋" w:eastAsia="仿宋" w:hAnsi="仿宋" w:hint="eastAsia"/>
          <w:sz w:val="32"/>
          <w:szCs w:val="32"/>
        </w:rPr>
        <w:t>室、人事室、后勤中心、审批室、直属大队、数字化中心；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、一线大队：与各乡镇办成立了中原办联合工作站、黄河办联合工作站、胜利办联合工作站等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个联合工作站。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本单位经费实行全额预算管理，无独立核算的下属预算单位，部门本级预算即汇总预算。</w:t>
      </w:r>
    </w:p>
    <w:p w:rsidR="00497E6D" w:rsidRDefault="00497E6D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:rsidR="00497E6D" w:rsidRDefault="00F720C1">
      <w:pPr>
        <w:jc w:val="center"/>
        <w:rPr>
          <w:rFonts w:ascii="黑体" w:eastAsia="黑体" w:hAnsi="黑体"/>
          <w:color w:val="000000"/>
          <w:sz w:val="36"/>
          <w:szCs w:val="32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</w:t>
      </w:r>
      <w:r>
        <w:rPr>
          <w:rFonts w:ascii="黑体" w:eastAsia="黑体" w:hAnsi="黑体" w:hint="eastAsia"/>
          <w:color w:val="000000"/>
          <w:sz w:val="36"/>
          <w:szCs w:val="32"/>
        </w:rPr>
        <w:t>年部门预算情况说明</w:t>
      </w:r>
    </w:p>
    <w:p w:rsidR="00497E6D" w:rsidRDefault="00497E6D">
      <w:pPr>
        <w:ind w:firstLineChars="200"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一、本级预算和所属单位预算在内的汇总预算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本单位无独立核算的下属预算单位，部门本级预算即汇总预算。</w:t>
      </w: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年本单位财政预算收入</w:t>
      </w:r>
      <w:r>
        <w:rPr>
          <w:rFonts w:ascii="仿宋" w:eastAsia="仿宋" w:hAnsi="仿宋" w:hint="eastAsia"/>
          <w:sz w:val="32"/>
          <w:szCs w:val="32"/>
        </w:rPr>
        <w:t>1552.76</w:t>
      </w:r>
      <w:r>
        <w:rPr>
          <w:rFonts w:ascii="仿宋" w:eastAsia="仿宋" w:hAnsi="仿宋" w:hint="eastAsia"/>
          <w:sz w:val="32"/>
          <w:szCs w:val="32"/>
        </w:rPr>
        <w:t>万元，支出</w:t>
      </w:r>
      <w:r>
        <w:rPr>
          <w:rFonts w:ascii="仿宋" w:eastAsia="仿宋" w:hAnsi="仿宋" w:hint="eastAsia"/>
          <w:sz w:val="32"/>
          <w:szCs w:val="32"/>
        </w:rPr>
        <w:t>1552.76</w:t>
      </w:r>
      <w:r>
        <w:rPr>
          <w:rFonts w:ascii="仿宋" w:eastAsia="仿宋" w:hAnsi="仿宋" w:hint="eastAsia"/>
          <w:sz w:val="32"/>
          <w:szCs w:val="32"/>
        </w:rPr>
        <w:t>万元，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二、部门预算收支变动情况说明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年本部门财政预算收入</w:t>
      </w:r>
      <w:r>
        <w:rPr>
          <w:rFonts w:ascii="仿宋" w:eastAsia="仿宋" w:hAnsi="仿宋" w:hint="eastAsia"/>
          <w:sz w:val="32"/>
          <w:szCs w:val="32"/>
        </w:rPr>
        <w:t>1552.76</w:t>
      </w:r>
      <w:r>
        <w:rPr>
          <w:rFonts w:ascii="仿宋" w:eastAsia="仿宋" w:hAnsi="仿宋" w:hint="eastAsia"/>
          <w:sz w:val="32"/>
          <w:szCs w:val="32"/>
        </w:rPr>
        <w:t>万元，支出</w:t>
      </w:r>
      <w:r>
        <w:rPr>
          <w:rFonts w:ascii="仿宋" w:eastAsia="仿宋" w:hAnsi="仿宋" w:hint="eastAsia"/>
          <w:sz w:val="32"/>
          <w:szCs w:val="32"/>
        </w:rPr>
        <w:t>1552.76</w:t>
      </w:r>
      <w:r>
        <w:rPr>
          <w:rFonts w:ascii="仿宋" w:eastAsia="仿宋" w:hAnsi="仿宋" w:hint="eastAsia"/>
          <w:sz w:val="32"/>
          <w:szCs w:val="32"/>
        </w:rPr>
        <w:t>万元，其中：基本支出</w:t>
      </w:r>
      <w:r>
        <w:rPr>
          <w:rFonts w:ascii="仿宋" w:eastAsia="仿宋" w:hAnsi="仿宋" w:hint="eastAsia"/>
          <w:sz w:val="32"/>
          <w:szCs w:val="32"/>
        </w:rPr>
        <w:t>1166.87</w:t>
      </w:r>
      <w:r>
        <w:rPr>
          <w:rFonts w:ascii="仿宋" w:eastAsia="仿宋" w:hAnsi="仿宋" w:hint="eastAsia"/>
          <w:sz w:val="32"/>
          <w:szCs w:val="32"/>
        </w:rPr>
        <w:t>万元，占</w:t>
      </w:r>
      <w:r>
        <w:rPr>
          <w:rFonts w:ascii="仿宋" w:eastAsia="仿宋" w:hAnsi="仿宋" w:hint="eastAsia"/>
          <w:sz w:val="32"/>
          <w:szCs w:val="32"/>
        </w:rPr>
        <w:t>75%</w:t>
      </w:r>
      <w:r>
        <w:rPr>
          <w:rFonts w:ascii="仿宋" w:eastAsia="仿宋" w:hAnsi="仿宋" w:hint="eastAsia"/>
          <w:sz w:val="32"/>
          <w:szCs w:val="32"/>
        </w:rPr>
        <w:t>，项目支出</w:t>
      </w:r>
      <w:r>
        <w:rPr>
          <w:rFonts w:ascii="仿宋" w:eastAsia="仿宋" w:hAnsi="仿宋" w:hint="eastAsia"/>
          <w:sz w:val="32"/>
          <w:szCs w:val="32"/>
        </w:rPr>
        <w:t>385.89</w:t>
      </w:r>
      <w:r>
        <w:rPr>
          <w:rFonts w:ascii="仿宋" w:eastAsia="仿宋" w:hAnsi="仿宋" w:hint="eastAsia"/>
          <w:sz w:val="32"/>
          <w:szCs w:val="32"/>
        </w:rPr>
        <w:t>万元，占</w:t>
      </w:r>
      <w:r>
        <w:rPr>
          <w:rFonts w:ascii="仿宋" w:eastAsia="仿宋" w:hAnsi="仿宋" w:hint="eastAsia"/>
          <w:sz w:val="32"/>
          <w:szCs w:val="32"/>
        </w:rPr>
        <w:t>25%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2020</w:t>
      </w:r>
      <w:r>
        <w:rPr>
          <w:rFonts w:ascii="仿宋" w:eastAsia="仿宋" w:hAnsi="仿宋" w:hint="eastAsia"/>
          <w:sz w:val="32"/>
          <w:szCs w:val="32"/>
        </w:rPr>
        <w:t>年本部门财政预算</w:t>
      </w:r>
      <w:r>
        <w:rPr>
          <w:rFonts w:ascii="仿宋" w:eastAsia="仿宋" w:hAnsi="仿宋" w:hint="eastAsia"/>
          <w:sz w:val="32"/>
          <w:szCs w:val="32"/>
        </w:rPr>
        <w:t>收入和支出均</w:t>
      </w:r>
      <w:r>
        <w:rPr>
          <w:rFonts w:ascii="仿宋" w:eastAsia="仿宋" w:hAnsi="仿宋" w:hint="eastAsia"/>
          <w:sz w:val="32"/>
          <w:szCs w:val="32"/>
        </w:rPr>
        <w:t>较上年增加</w:t>
      </w:r>
      <w:r>
        <w:rPr>
          <w:rFonts w:ascii="仿宋" w:eastAsia="仿宋" w:hAnsi="仿宋" w:hint="eastAsia"/>
          <w:sz w:val="32"/>
          <w:szCs w:val="32"/>
        </w:rPr>
        <w:t>121.54</w:t>
      </w:r>
      <w:r>
        <w:rPr>
          <w:rFonts w:ascii="仿宋" w:eastAsia="仿宋" w:hAnsi="仿宋" w:hint="eastAsia"/>
          <w:sz w:val="32"/>
          <w:szCs w:val="32"/>
        </w:rPr>
        <w:t>万元，增加</w:t>
      </w:r>
      <w:r>
        <w:rPr>
          <w:rFonts w:ascii="仿宋" w:eastAsia="仿宋" w:hAnsi="仿宋" w:hint="eastAsia"/>
          <w:sz w:val="32"/>
          <w:szCs w:val="32"/>
        </w:rPr>
        <w:t>8.5%</w:t>
      </w:r>
      <w:r>
        <w:rPr>
          <w:rFonts w:ascii="仿宋" w:eastAsia="仿宋" w:hAnsi="仿宋" w:hint="eastAsia"/>
          <w:sz w:val="32"/>
          <w:szCs w:val="32"/>
        </w:rPr>
        <w:t>。主要是因为单位人员增加、人员工资提高及根据实际工作需要各项专项经费支出增多等。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三、一般公共预算基本支出情况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年本部门一般公共预算基本支出</w:t>
      </w:r>
      <w:r>
        <w:rPr>
          <w:rFonts w:ascii="仿宋" w:eastAsia="仿宋" w:hAnsi="仿宋"/>
          <w:sz w:val="32"/>
          <w:szCs w:val="32"/>
        </w:rPr>
        <w:t>1166.87</w:t>
      </w:r>
      <w:r>
        <w:rPr>
          <w:rFonts w:ascii="仿宋" w:eastAsia="仿宋" w:hAnsi="仿宋" w:hint="eastAsia"/>
          <w:sz w:val="32"/>
          <w:szCs w:val="32"/>
        </w:rPr>
        <w:t>万元，其中：人员经费</w:t>
      </w:r>
      <w:r>
        <w:rPr>
          <w:rFonts w:ascii="仿宋" w:eastAsia="仿宋" w:hAnsi="仿宋"/>
          <w:sz w:val="32"/>
          <w:szCs w:val="32"/>
        </w:rPr>
        <w:t>1135.67</w:t>
      </w:r>
      <w:r>
        <w:rPr>
          <w:rFonts w:ascii="仿宋" w:eastAsia="仿宋" w:hAnsi="仿宋" w:hint="eastAsia"/>
          <w:sz w:val="32"/>
          <w:szCs w:val="32"/>
        </w:rPr>
        <w:t>万元，主要包括：基本工资、津贴补贴、绩效工资、机关事业单位基本养老保险缴费、医疗保险缴费、其他社会保障缴费、住房公积金；公用经费</w:t>
      </w:r>
      <w:r>
        <w:rPr>
          <w:rFonts w:ascii="仿宋" w:eastAsia="仿宋" w:hAnsi="仿宋"/>
          <w:sz w:val="32"/>
          <w:szCs w:val="32"/>
        </w:rPr>
        <w:t>31.2</w:t>
      </w:r>
      <w:r>
        <w:rPr>
          <w:rFonts w:ascii="仿宋" w:eastAsia="仿宋" w:hAnsi="仿宋" w:hint="eastAsia"/>
          <w:sz w:val="32"/>
          <w:szCs w:val="32"/>
        </w:rPr>
        <w:t>万元，主要包括：办公费、公务用车运行维护费、其他商品和服务支出等。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四、机关运行经费安排情况说明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年本部门机关运行经费安排</w:t>
      </w:r>
      <w:r>
        <w:rPr>
          <w:rFonts w:ascii="仿宋" w:eastAsia="仿宋" w:hAnsi="仿宋" w:hint="eastAsia"/>
          <w:sz w:val="32"/>
          <w:szCs w:val="32"/>
        </w:rPr>
        <w:t>31.20</w:t>
      </w:r>
      <w:r>
        <w:rPr>
          <w:rFonts w:ascii="仿宋" w:eastAsia="仿宋" w:hAnsi="仿宋" w:hint="eastAsia"/>
          <w:sz w:val="32"/>
          <w:szCs w:val="32"/>
        </w:rPr>
        <w:t>万元，主要用于办公费、印刷费等，较上年增加</w:t>
      </w:r>
      <w:r>
        <w:rPr>
          <w:rFonts w:ascii="仿宋" w:eastAsia="仿宋" w:hAnsi="仿宋" w:hint="eastAsia"/>
          <w:sz w:val="32"/>
          <w:szCs w:val="32"/>
        </w:rPr>
        <w:t>0.2</w:t>
      </w:r>
      <w:r>
        <w:rPr>
          <w:rFonts w:ascii="仿宋" w:eastAsia="仿宋" w:hAnsi="仿宋" w:hint="eastAsia"/>
          <w:sz w:val="32"/>
          <w:szCs w:val="32"/>
        </w:rPr>
        <w:t>万元，增加</w:t>
      </w:r>
      <w:r>
        <w:rPr>
          <w:rFonts w:ascii="仿宋" w:eastAsia="仿宋" w:hAnsi="仿宋" w:hint="eastAsia"/>
          <w:sz w:val="32"/>
          <w:szCs w:val="32"/>
        </w:rPr>
        <w:t>0.6%</w:t>
      </w:r>
      <w:r>
        <w:rPr>
          <w:rFonts w:ascii="仿宋" w:eastAsia="仿宋" w:hAnsi="仿宋" w:hint="eastAsia"/>
          <w:sz w:val="32"/>
          <w:szCs w:val="32"/>
        </w:rPr>
        <w:t>，主要原因是新进人员增加，办公经费随之增多。</w:t>
      </w:r>
    </w:p>
    <w:p w:rsidR="00497E6D" w:rsidRDefault="00F720C1">
      <w:pPr>
        <w:ind w:left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五、“三公”经费安排情况</w:t>
      </w:r>
    </w:p>
    <w:p w:rsidR="00497E6D" w:rsidRDefault="00F720C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年本部门“三公”经费预算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万元，较上年减少</w:t>
      </w:r>
      <w:r>
        <w:rPr>
          <w:rFonts w:ascii="仿宋" w:eastAsia="仿宋" w:hAnsi="仿宋" w:hint="eastAsia"/>
          <w:sz w:val="32"/>
          <w:szCs w:val="32"/>
        </w:rPr>
        <w:t>13</w:t>
      </w:r>
      <w:r>
        <w:rPr>
          <w:rFonts w:ascii="仿宋" w:eastAsia="仿宋" w:hAnsi="仿宋" w:hint="eastAsia"/>
          <w:sz w:val="32"/>
          <w:szCs w:val="32"/>
        </w:rPr>
        <w:t>万元，主要原因是厉行节约有关要求。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因公</w:t>
      </w:r>
      <w:r>
        <w:rPr>
          <w:rFonts w:ascii="仿宋" w:eastAsia="仿宋" w:hAnsi="仿宋" w:hint="eastAsia"/>
          <w:sz w:val="32"/>
          <w:szCs w:val="32"/>
        </w:rPr>
        <w:t>出国（境）费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万元；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公务用车运行及维护费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万元，其中：公务用车购置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元，公务用车运行费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公务接待费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497E6D" w:rsidRDefault="00F720C1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六、政府采购安排情况说明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2020</w:t>
      </w:r>
      <w:r>
        <w:rPr>
          <w:rFonts w:ascii="仿宋" w:eastAsia="仿宋" w:hAnsi="仿宋" w:hint="eastAsia"/>
          <w:sz w:val="32"/>
          <w:szCs w:val="32"/>
        </w:rPr>
        <w:t>年本部门无政府采购预算安排。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七、政府性基金预算安排情况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本部门无政府性基金预算</w:t>
      </w:r>
      <w:r>
        <w:rPr>
          <w:rFonts w:ascii="仿宋" w:eastAsia="仿宋" w:hAnsi="仿宋" w:hint="eastAsia"/>
          <w:sz w:val="32"/>
          <w:szCs w:val="32"/>
        </w:rPr>
        <w:t>收支</w:t>
      </w:r>
      <w:bookmarkStart w:id="1" w:name="_GoBack"/>
      <w:bookmarkEnd w:id="1"/>
      <w:r>
        <w:rPr>
          <w:rFonts w:ascii="仿宋" w:eastAsia="仿宋" w:hAnsi="仿宋" w:hint="eastAsia"/>
          <w:sz w:val="32"/>
          <w:szCs w:val="32"/>
        </w:rPr>
        <w:t>安排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较上年无变动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</w:t>
      </w:r>
      <w:r>
        <w:rPr>
          <w:rFonts w:ascii="黑体" w:eastAsia="黑体" w:hAnsi="黑体"/>
          <w:sz w:val="32"/>
          <w:szCs w:val="32"/>
        </w:rPr>
        <w:t>国有资产占用情况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截止</w:t>
      </w:r>
      <w:r>
        <w:rPr>
          <w:rFonts w:ascii="仿宋" w:eastAsia="仿宋" w:hAnsi="仿宋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年末，本部门共有车辆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辆，其中：一般执法执勤用车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辆；单位价值</w:t>
      </w:r>
      <w:r>
        <w:rPr>
          <w:rFonts w:ascii="仿宋" w:eastAsia="仿宋" w:hAnsi="仿宋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万元以上通用设备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台（套），单位价值</w:t>
      </w:r>
      <w:r>
        <w:rPr>
          <w:rFonts w:ascii="仿宋" w:eastAsia="仿宋" w:hAnsi="仿宋"/>
          <w:sz w:val="32"/>
          <w:szCs w:val="32"/>
        </w:rPr>
        <w:t>100</w:t>
      </w:r>
      <w:r>
        <w:rPr>
          <w:rFonts w:ascii="仿宋" w:eastAsia="仿宋" w:hAnsi="仿宋" w:hint="eastAsia"/>
          <w:sz w:val="32"/>
          <w:szCs w:val="32"/>
        </w:rPr>
        <w:t>万元以上专用设备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台（套）。</w:t>
      </w:r>
    </w:p>
    <w:p w:rsidR="00497E6D" w:rsidRDefault="00F720C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九、预算绩效管理工作开展情况</w:t>
      </w:r>
    </w:p>
    <w:p w:rsidR="00497E6D" w:rsidRDefault="00F720C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有关全面推进预算绩效管理方面的要求，本部门牢固树立“讲绩效、重绩效、用绩效”的绩效管理理念，年度预算申报时，针对政策及重点项目逐项设立并报送了预算绩效目标，努力建立健全以结果为导向的预算绩效管理工作机制。</w:t>
      </w:r>
    </w:p>
    <w:p w:rsidR="00497E6D" w:rsidRDefault="00497E6D">
      <w:pPr>
        <w:pStyle w:val="1"/>
        <w:topLinePunct/>
        <w:spacing w:before="0" w:beforeAutospacing="0" w:after="0" w:afterAutospacing="0" w:line="360" w:lineRule="auto"/>
        <w:jc w:val="both"/>
        <w:rPr>
          <w:rFonts w:ascii="黑体" w:eastAsia="黑体" w:hAnsi="黑体"/>
          <w:color w:val="000000"/>
          <w:sz w:val="36"/>
          <w:szCs w:val="32"/>
        </w:rPr>
      </w:pP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:rsidR="00497E6D" w:rsidRDefault="00F720C1">
      <w:pPr>
        <w:pStyle w:val="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497E6D" w:rsidRDefault="00497E6D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一、财政拨款收入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指本级财政当年拨付的资金。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二、事业收入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指事业单位开展专务活动及辅助所取得的收入。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三、其他收入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lastRenderedPageBreak/>
        <w:t>指除“财政拨款”、“事业收入”、“事业单位经营收入”、“附属单位上缴收入”等以外的收入。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四、基本支出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指为保障机构正常运转、完成日常工作任务所必需的开支，其内容包括人员经费和日常公用经费两部分。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五、项目支出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指在基本支出之外，为完成特定的行政工作任务或事业发展目标所发生的支出。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六、机关运行经费</w:t>
      </w:r>
    </w:p>
    <w:p w:rsidR="00497E6D" w:rsidRDefault="00F720C1">
      <w:pPr>
        <w:ind w:firstLineChars="200" w:firstLine="640"/>
        <w:jc w:val="left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:rsidR="00497E6D" w:rsidRDefault="00F720C1">
      <w:pPr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七、“三公”经费</w:t>
      </w:r>
    </w:p>
    <w:p w:rsidR="00497E6D" w:rsidRDefault="00F720C1">
      <w:pPr>
        <w:ind w:firstLineChars="200" w:firstLine="640"/>
        <w:jc w:val="left"/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指纳入本级财政预决算管理，本级部门使用财政拨款安排的因公出国（境）费、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 w:rsidR="00497E6D" w:rsidSect="00497E6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0C1" w:rsidRDefault="00F720C1" w:rsidP="004470D4">
      <w:r>
        <w:separator/>
      </w:r>
    </w:p>
  </w:endnote>
  <w:endnote w:type="continuationSeparator" w:id="1">
    <w:p w:rsidR="00F720C1" w:rsidRDefault="00F720C1" w:rsidP="0044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0C1" w:rsidRDefault="00F720C1" w:rsidP="004470D4">
      <w:r>
        <w:separator/>
      </w:r>
    </w:p>
  </w:footnote>
  <w:footnote w:type="continuationSeparator" w:id="1">
    <w:p w:rsidR="00F720C1" w:rsidRDefault="00F720C1" w:rsidP="00447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CB8"/>
    <w:rsid w:val="001658A1"/>
    <w:rsid w:val="001F76A6"/>
    <w:rsid w:val="0024116A"/>
    <w:rsid w:val="002B2ECB"/>
    <w:rsid w:val="0040551E"/>
    <w:rsid w:val="004470D4"/>
    <w:rsid w:val="00497E6D"/>
    <w:rsid w:val="005F4B83"/>
    <w:rsid w:val="00852BE8"/>
    <w:rsid w:val="008F3949"/>
    <w:rsid w:val="00A65CB8"/>
    <w:rsid w:val="00AC2A65"/>
    <w:rsid w:val="00D07341"/>
    <w:rsid w:val="00F720C1"/>
    <w:rsid w:val="119B4673"/>
    <w:rsid w:val="7F7C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6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97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97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semiHidden/>
    <w:qFormat/>
    <w:rsid w:val="00497E6D"/>
    <w:rPr>
      <w:sz w:val="18"/>
      <w:szCs w:val="18"/>
    </w:rPr>
  </w:style>
  <w:style w:type="character" w:customStyle="1" w:styleId="Char0">
    <w:name w:val="页眉 Char"/>
    <w:link w:val="a4"/>
    <w:semiHidden/>
    <w:qFormat/>
    <w:rsid w:val="00497E6D"/>
    <w:rPr>
      <w:sz w:val="18"/>
      <w:szCs w:val="18"/>
    </w:rPr>
  </w:style>
  <w:style w:type="paragraph" w:customStyle="1" w:styleId="Default">
    <w:name w:val="Default"/>
    <w:qFormat/>
    <w:rsid w:val="00497E6D"/>
    <w:pPr>
      <w:widowControl w:val="0"/>
      <w:autoSpaceDE w:val="0"/>
      <w:autoSpaceDN w:val="0"/>
      <w:adjustRightInd w:val="0"/>
    </w:pPr>
    <w:rPr>
      <w:rFonts w:ascii="黑体" w:eastAsia="微软雅黑" w:hAnsi="黑体" w:cs="黑体"/>
      <w:color w:val="000000"/>
      <w:sz w:val="24"/>
      <w:szCs w:val="24"/>
    </w:rPr>
  </w:style>
  <w:style w:type="paragraph" w:customStyle="1" w:styleId="1">
    <w:name w:val="普通(网站)1"/>
    <w:basedOn w:val="a"/>
    <w:qFormat/>
    <w:rsid w:val="00497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ys-pc</dc:title>
  <dc:creator>lenovo</dc:creator>
  <cp:lastModifiedBy>lenovo</cp:lastModifiedBy>
  <cp:revision>3</cp:revision>
  <dcterms:created xsi:type="dcterms:W3CDTF">2021-06-09T00:49:00Z</dcterms:created>
  <dcterms:modified xsi:type="dcterms:W3CDTF">2021-06-09T00:49:00Z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